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79" w:rsidRDefault="001D5B79" w:rsidP="00363497">
      <w:pPr>
        <w:pStyle w:val="Title"/>
        <w:spacing w:line="240" w:lineRule="auto"/>
      </w:pPr>
      <w:r>
        <w:t>FACULTY COUNCIL MEETING</w:t>
      </w:r>
    </w:p>
    <w:p w:rsidR="001D5B79" w:rsidRDefault="001D5B79" w:rsidP="001D5B79">
      <w:pPr>
        <w:jc w:val="center"/>
        <w:rPr>
          <w:b/>
        </w:rPr>
      </w:pPr>
      <w:smartTag w:uri="urn:schemas-microsoft-com:office:smarttags" w:element="State">
        <w:smartTagPr>
          <w:attr w:name="Hour" w:val="15"/>
          <w:attr w:name="Minute" w:val="0"/>
        </w:smartTagPr>
        <w:r>
          <w:rPr>
            <w:b/>
          </w:rPr>
          <w:t>3:00 p.m.</w:t>
        </w:r>
      </w:smartTag>
      <w:r>
        <w:rPr>
          <w:b/>
        </w:rPr>
        <w:t xml:space="preserve">, Tuesday, </w:t>
      </w:r>
      <w:r w:rsidR="00E27E6C">
        <w:rPr>
          <w:b/>
        </w:rPr>
        <w:t>March 13</w:t>
      </w:r>
      <w:r w:rsidR="00890A39">
        <w:rPr>
          <w:b/>
        </w:rPr>
        <w:t>, 2012</w:t>
      </w:r>
    </w:p>
    <w:p w:rsidR="001D5B79" w:rsidRPr="00890A39" w:rsidRDefault="00890A39" w:rsidP="001D5B79">
      <w:pPr>
        <w:pStyle w:val="Heading1"/>
        <w:rPr>
          <w:sz w:val="32"/>
        </w:rPr>
      </w:pPr>
      <w:r w:rsidRPr="00890A39">
        <w:rPr>
          <w:sz w:val="32"/>
        </w:rPr>
        <w:t>Browsing Room, Edmon Low Library</w:t>
      </w:r>
    </w:p>
    <w:p w:rsidR="001D5B79" w:rsidRPr="00890A39" w:rsidRDefault="001D5B79" w:rsidP="001D5B79"/>
    <w:p w:rsidR="001D5B79" w:rsidRDefault="001D5B79" w:rsidP="001D5B79">
      <w:r>
        <w:rPr>
          <w:b/>
        </w:rPr>
        <w:t>AGENDA:</w:t>
      </w:r>
    </w:p>
    <w:p w:rsidR="001D5B79" w:rsidRDefault="001D5B79" w:rsidP="001D5B79"/>
    <w:p w:rsidR="001D5B79" w:rsidRPr="00EE7D22" w:rsidRDefault="001D5B79" w:rsidP="001D5B79">
      <w:pPr>
        <w:pStyle w:val="EnvelopeReturn"/>
        <w:tabs>
          <w:tab w:val="left" w:pos="360"/>
          <w:tab w:val="left" w:pos="965"/>
          <w:tab w:val="left" w:pos="1325"/>
        </w:tabs>
        <w:spacing w:line="360" w:lineRule="auto"/>
        <w:rPr>
          <w:rFonts w:cs="Times New Roman"/>
        </w:rPr>
      </w:pPr>
      <w:r>
        <w:tab/>
        <w:t xml:space="preserve"> 1.</w:t>
      </w:r>
      <w:r w:rsidRPr="00EE7D22">
        <w:rPr>
          <w:rFonts w:cs="Times New Roman"/>
        </w:rPr>
        <w:tab/>
        <w:t>Roll Call</w:t>
      </w:r>
    </w:p>
    <w:p w:rsidR="001D5B79" w:rsidRPr="00EE7D22" w:rsidRDefault="001D5B79" w:rsidP="001D5B79">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E27E6C">
        <w:rPr>
          <w:rFonts w:cs="Times New Roman"/>
        </w:rPr>
        <w:t>February 14</w:t>
      </w:r>
      <w:r w:rsidR="000074E1">
        <w:rPr>
          <w:rFonts w:cs="Times New Roman"/>
        </w:rPr>
        <w:t>, 2012</w:t>
      </w:r>
      <w:r w:rsidRPr="006D7AB7">
        <w:rPr>
          <w:rFonts w:cs="Times New Roman"/>
        </w:rPr>
        <w:t>, Minutes</w:t>
      </w:r>
    </w:p>
    <w:p w:rsidR="00027419" w:rsidRDefault="001D5B79" w:rsidP="00703526">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rsidR="003250AF" w:rsidRDefault="00D30E89" w:rsidP="00703526">
      <w:pPr>
        <w:tabs>
          <w:tab w:val="left" w:pos="360"/>
          <w:tab w:val="left" w:pos="960"/>
        </w:tabs>
        <w:ind w:left="960" w:hanging="960"/>
        <w:rPr>
          <w:color w:val="000000"/>
        </w:rPr>
      </w:pPr>
      <w:r>
        <w:rPr>
          <w:color w:val="000000"/>
        </w:rPr>
        <w:tab/>
        <w:t xml:space="preserve"> 4</w:t>
      </w:r>
      <w:r w:rsidR="001D5B79" w:rsidRPr="00B161C8">
        <w:rPr>
          <w:color w:val="000000"/>
        </w:rPr>
        <w:t>.</w:t>
      </w:r>
      <w:r w:rsidR="001D5B79" w:rsidRPr="00B161C8">
        <w:rPr>
          <w:color w:val="000000"/>
        </w:rPr>
        <w:tab/>
        <w:t xml:space="preserve">Special Report:  </w:t>
      </w:r>
    </w:p>
    <w:p w:rsidR="002C2882" w:rsidRDefault="00703526" w:rsidP="002D2ECA">
      <w:pPr>
        <w:tabs>
          <w:tab w:val="left" w:pos="360"/>
          <w:tab w:val="left" w:pos="960"/>
        </w:tabs>
        <w:rPr>
          <w:color w:val="000000"/>
        </w:rPr>
      </w:pPr>
      <w:r>
        <w:rPr>
          <w:color w:val="000000"/>
        </w:rPr>
        <w:tab/>
      </w:r>
      <w:r>
        <w:rPr>
          <w:color w:val="000000"/>
        </w:rPr>
        <w:tab/>
      </w:r>
      <w:r>
        <w:rPr>
          <w:color w:val="000000"/>
        </w:rPr>
        <w:tab/>
      </w:r>
      <w:r w:rsidR="00D30E89">
        <w:rPr>
          <w:color w:val="000000"/>
        </w:rPr>
        <w:t>A.</w:t>
      </w:r>
      <w:r w:rsidR="000603D3">
        <w:rPr>
          <w:color w:val="000000"/>
        </w:rPr>
        <w:t xml:space="preserve">  </w:t>
      </w:r>
      <w:r w:rsidR="00E27E6C">
        <w:rPr>
          <w:color w:val="000000"/>
        </w:rPr>
        <w:t>Howard Barnett – President OSU-Tulsa and OSU-CHS</w:t>
      </w:r>
    </w:p>
    <w:p w:rsidR="002C2882" w:rsidRDefault="00D30E89" w:rsidP="00AC7E5A">
      <w:pPr>
        <w:tabs>
          <w:tab w:val="left" w:pos="360"/>
          <w:tab w:val="left" w:pos="960"/>
        </w:tabs>
        <w:rPr>
          <w:color w:val="000000"/>
        </w:rPr>
      </w:pPr>
      <w:r>
        <w:rPr>
          <w:color w:val="000000"/>
        </w:rPr>
        <w:tab/>
      </w:r>
      <w:r>
        <w:rPr>
          <w:color w:val="000000"/>
        </w:rPr>
        <w:tab/>
      </w:r>
      <w:r>
        <w:rPr>
          <w:color w:val="000000"/>
        </w:rPr>
        <w:tab/>
        <w:t>B.</w:t>
      </w:r>
      <w:r w:rsidR="002C2882">
        <w:rPr>
          <w:color w:val="000000"/>
        </w:rPr>
        <w:t xml:space="preserve">  </w:t>
      </w:r>
      <w:proofErr w:type="spellStart"/>
      <w:r w:rsidR="00E27E6C">
        <w:rPr>
          <w:color w:val="000000"/>
        </w:rPr>
        <w:t>MacKenzie</w:t>
      </w:r>
      <w:proofErr w:type="spellEnd"/>
      <w:r w:rsidR="00E27E6C">
        <w:rPr>
          <w:color w:val="000000"/>
        </w:rPr>
        <w:t xml:space="preserve"> </w:t>
      </w:r>
      <w:proofErr w:type="spellStart"/>
      <w:r w:rsidR="00E27E6C">
        <w:rPr>
          <w:color w:val="000000"/>
        </w:rPr>
        <w:t>Wilfong</w:t>
      </w:r>
      <w:proofErr w:type="spellEnd"/>
      <w:r w:rsidR="00E27E6C">
        <w:rPr>
          <w:color w:val="000000"/>
        </w:rPr>
        <w:t xml:space="preserve"> – Affirmative Action Program</w:t>
      </w:r>
    </w:p>
    <w:p w:rsidR="00E27E6C" w:rsidRDefault="00E27E6C" w:rsidP="00AC7E5A">
      <w:pPr>
        <w:tabs>
          <w:tab w:val="left" w:pos="360"/>
          <w:tab w:val="left" w:pos="960"/>
        </w:tabs>
        <w:rPr>
          <w:color w:val="000000"/>
        </w:rPr>
      </w:pPr>
      <w:r>
        <w:rPr>
          <w:color w:val="000000"/>
        </w:rPr>
        <w:tab/>
      </w:r>
      <w:r>
        <w:rPr>
          <w:color w:val="000000"/>
        </w:rPr>
        <w:tab/>
      </w:r>
      <w:r>
        <w:rPr>
          <w:color w:val="000000"/>
        </w:rPr>
        <w:tab/>
        <w:t>C.  Bob Graalman/Tim O’Neil – Undergraduate Research Network</w:t>
      </w:r>
    </w:p>
    <w:p w:rsidR="00AC7E5A" w:rsidRDefault="00AC7E5A" w:rsidP="00AC7E5A">
      <w:pPr>
        <w:tabs>
          <w:tab w:val="left" w:pos="360"/>
          <w:tab w:val="left" w:pos="960"/>
        </w:tabs>
        <w:spacing w:line="120" w:lineRule="auto"/>
        <w:rPr>
          <w:color w:val="000000"/>
        </w:rPr>
      </w:pPr>
    </w:p>
    <w:p w:rsidR="001D5B79" w:rsidRDefault="00027419" w:rsidP="003250AF">
      <w:pPr>
        <w:tabs>
          <w:tab w:val="left" w:pos="360"/>
          <w:tab w:val="left" w:pos="960"/>
        </w:tabs>
        <w:ind w:left="960" w:hanging="960"/>
      </w:pPr>
      <w:r>
        <w:tab/>
        <w:t xml:space="preserve"> </w:t>
      </w:r>
      <w:r w:rsidR="00D30E89">
        <w:t>5</w:t>
      </w:r>
      <w:r w:rsidR="001D5B79">
        <w:t>.</w:t>
      </w:r>
      <w:r w:rsidR="001D5B79">
        <w:tab/>
        <w:t>Report of Status of Faculty Council Recommendations:</w:t>
      </w:r>
    </w:p>
    <w:p w:rsidR="00B13701" w:rsidRDefault="002D2ECA" w:rsidP="001D5B79">
      <w:pPr>
        <w:tabs>
          <w:tab w:val="left" w:pos="360"/>
          <w:tab w:val="left" w:pos="965"/>
          <w:tab w:val="left" w:pos="1325"/>
        </w:tabs>
        <w:ind w:left="965" w:hanging="965"/>
      </w:pPr>
      <w:r>
        <w:tab/>
      </w:r>
      <w:r>
        <w:tab/>
      </w:r>
      <w:r w:rsidR="001D5B79">
        <w:t xml:space="preserve">Provost </w:t>
      </w:r>
      <w:r w:rsidR="00862327">
        <w:t>Sternberg</w:t>
      </w:r>
      <w:r w:rsidR="001D5B79">
        <w:t>, and/or Vice Presidents</w:t>
      </w:r>
    </w:p>
    <w:p w:rsidR="000327A7" w:rsidRDefault="00027419" w:rsidP="000327A7">
      <w:pPr>
        <w:tabs>
          <w:tab w:val="left" w:pos="360"/>
          <w:tab w:val="left" w:pos="965"/>
          <w:tab w:val="left" w:pos="1325"/>
        </w:tabs>
        <w:spacing w:before="120"/>
        <w:ind w:left="965" w:hanging="965"/>
      </w:pPr>
      <w:r>
        <w:tab/>
        <w:t xml:space="preserve"> </w:t>
      </w:r>
      <w:r w:rsidR="00D30E89">
        <w:t>6</w:t>
      </w:r>
      <w:r w:rsidR="000327A7">
        <w:t>.</w:t>
      </w:r>
      <w:r w:rsidR="000327A7">
        <w:tab/>
        <w:t>President</w:t>
      </w:r>
      <w:r w:rsidR="002D2ECA">
        <w:t xml:space="preserve"> Hargis</w:t>
      </w:r>
      <w:r w:rsidR="000327A7">
        <w:t xml:space="preserve"> – Remarks and Comments</w:t>
      </w:r>
    </w:p>
    <w:p w:rsidR="001D5B79" w:rsidRDefault="00027419" w:rsidP="001D5B79">
      <w:pPr>
        <w:pStyle w:val="EnvelopeReturn"/>
        <w:tabs>
          <w:tab w:val="left" w:pos="360"/>
          <w:tab w:val="left" w:pos="965"/>
          <w:tab w:val="left" w:pos="1325"/>
        </w:tabs>
        <w:spacing w:before="120"/>
      </w:pPr>
      <w:r>
        <w:tab/>
        <w:t xml:space="preserve"> </w:t>
      </w:r>
      <w:r w:rsidR="00D30E89">
        <w:t>7</w:t>
      </w:r>
      <w:r w:rsidR="001D5B79">
        <w:t>.</w:t>
      </w:r>
      <w:r w:rsidR="001D5B79">
        <w:tab/>
        <w:t>Reports of Standing Committees:</w:t>
      </w:r>
    </w:p>
    <w:p w:rsidR="00F817B0" w:rsidRDefault="001D5B79" w:rsidP="00F817B0">
      <w:pPr>
        <w:tabs>
          <w:tab w:val="left" w:pos="360"/>
          <w:tab w:val="left" w:pos="960"/>
          <w:tab w:val="left" w:pos="1320"/>
        </w:tabs>
        <w:spacing w:before="120"/>
      </w:pPr>
      <w:r>
        <w:tab/>
      </w:r>
      <w:r>
        <w:tab/>
        <w:t>a.</w:t>
      </w:r>
      <w:r>
        <w:tab/>
      </w:r>
      <w:r w:rsidR="00F817B0">
        <w:t>Faculty:  Shelia Kennison – Update</w:t>
      </w:r>
    </w:p>
    <w:p w:rsidR="00441E25" w:rsidRDefault="00F817B0" w:rsidP="00F817B0">
      <w:pPr>
        <w:tabs>
          <w:tab w:val="left" w:pos="360"/>
          <w:tab w:val="left" w:pos="960"/>
          <w:tab w:val="left" w:pos="1320"/>
        </w:tabs>
        <w:spacing w:before="120"/>
      </w:pPr>
      <w:r>
        <w:tab/>
      </w:r>
      <w:r>
        <w:tab/>
        <w:t>b.</w:t>
      </w:r>
      <w:r>
        <w:tab/>
      </w:r>
      <w:r w:rsidR="00596C46">
        <w:t xml:space="preserve">Academic Standards and Policies:  </w:t>
      </w:r>
      <w:r w:rsidR="00AA4258">
        <w:t>Ed Harris</w:t>
      </w:r>
      <w:r w:rsidR="00596C46">
        <w:t xml:space="preserve"> – </w:t>
      </w:r>
      <w:r>
        <w:t>Update</w:t>
      </w:r>
    </w:p>
    <w:p w:rsidR="00602211" w:rsidRPr="00441E25" w:rsidRDefault="00602211" w:rsidP="00F817B0">
      <w:pPr>
        <w:tabs>
          <w:tab w:val="left" w:pos="360"/>
          <w:tab w:val="left" w:pos="960"/>
          <w:tab w:val="left" w:pos="1320"/>
        </w:tabs>
        <w:spacing w:before="120"/>
      </w:pPr>
      <w:r>
        <w:tab/>
      </w:r>
      <w:r>
        <w:tab/>
      </w:r>
      <w:r>
        <w:tab/>
        <w:t>Recommendation:  Veterinary Medical Research Scholars*</w:t>
      </w:r>
    </w:p>
    <w:p w:rsidR="00D305F2" w:rsidRPr="00F817B0" w:rsidRDefault="001D5B79" w:rsidP="00F817B0">
      <w:pPr>
        <w:pStyle w:val="EnvelopeReturn"/>
        <w:tabs>
          <w:tab w:val="left" w:pos="360"/>
          <w:tab w:val="left" w:pos="965"/>
          <w:tab w:val="left" w:pos="1325"/>
        </w:tabs>
        <w:spacing w:before="120"/>
        <w:rPr>
          <w:rFonts w:cs="Times New Roman"/>
          <w:szCs w:val="24"/>
        </w:rPr>
      </w:pPr>
      <w:r>
        <w:tab/>
      </w:r>
      <w:r>
        <w:tab/>
        <w:t>c.</w:t>
      </w:r>
      <w:r>
        <w:tab/>
      </w:r>
      <w:r w:rsidR="00F817B0">
        <w:t>Athletics:  Steve Damron – No Report</w:t>
      </w:r>
    </w:p>
    <w:p w:rsidR="00E953C4" w:rsidRPr="00F817B0" w:rsidRDefault="001D5B79" w:rsidP="001D5B79">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F817B0">
        <w:t>Budget:  Rodney Holcomb</w:t>
      </w:r>
      <w:r w:rsidR="00F817B0">
        <w:rPr>
          <w:rFonts w:cs="Times New Roman"/>
          <w:szCs w:val="24"/>
        </w:rPr>
        <w:t xml:space="preserve"> – Update</w:t>
      </w:r>
    </w:p>
    <w:p w:rsidR="00D77BC6" w:rsidRPr="00D77BC6" w:rsidRDefault="00B13701" w:rsidP="00F817B0">
      <w:pPr>
        <w:pStyle w:val="EnvelopeReturn"/>
        <w:tabs>
          <w:tab w:val="left" w:pos="360"/>
          <w:tab w:val="left" w:pos="965"/>
          <w:tab w:val="left" w:pos="1325"/>
        </w:tabs>
        <w:spacing w:before="120"/>
      </w:pPr>
      <w:r>
        <w:rPr>
          <w:rFonts w:cs="Times New Roman"/>
          <w:szCs w:val="24"/>
        </w:rPr>
        <w:tab/>
      </w:r>
      <w:r>
        <w:rPr>
          <w:rFonts w:cs="Times New Roman"/>
          <w:szCs w:val="24"/>
        </w:rPr>
        <w:tab/>
      </w:r>
      <w:r w:rsidR="001D5B79">
        <w:rPr>
          <w:rFonts w:cs="Times New Roman"/>
          <w:szCs w:val="24"/>
        </w:rPr>
        <w:t>e.</w:t>
      </w:r>
      <w:r w:rsidR="001D5B79">
        <w:rPr>
          <w:rFonts w:cs="Times New Roman"/>
          <w:szCs w:val="24"/>
        </w:rPr>
        <w:tab/>
      </w:r>
      <w:r w:rsidR="00F817B0">
        <w:t>Campus Facilities, Safety, and Security:  Robert Emerson – Update</w:t>
      </w:r>
    </w:p>
    <w:p w:rsidR="00D17609" w:rsidRPr="00F817B0" w:rsidRDefault="001D5B79" w:rsidP="00F817B0">
      <w:pPr>
        <w:pStyle w:val="EnvelopeReturn"/>
        <w:tabs>
          <w:tab w:val="left" w:pos="360"/>
          <w:tab w:val="left" w:pos="965"/>
          <w:tab w:val="left" w:pos="1325"/>
        </w:tabs>
        <w:spacing w:before="120"/>
      </w:pPr>
      <w:r>
        <w:tab/>
      </w:r>
      <w:r>
        <w:tab/>
        <w:t>f.</w:t>
      </w:r>
      <w:r>
        <w:tab/>
      </w:r>
      <w:r w:rsidR="00596C46">
        <w:t xml:space="preserve">Long-Range Planning and Information Technology:  </w:t>
      </w:r>
      <w:r w:rsidR="00D17609">
        <w:t>Nick Materer –</w:t>
      </w:r>
      <w:r w:rsidR="00F817B0">
        <w:t xml:space="preserve"> Update</w:t>
      </w:r>
    </w:p>
    <w:p w:rsidR="00474337" w:rsidRPr="00F817B0" w:rsidRDefault="001D5B79" w:rsidP="00F817B0">
      <w:pPr>
        <w:pStyle w:val="EnvelopeReturn"/>
        <w:tabs>
          <w:tab w:val="left" w:pos="360"/>
          <w:tab w:val="left" w:pos="965"/>
          <w:tab w:val="left" w:pos="1325"/>
        </w:tabs>
        <w:spacing w:before="120"/>
      </w:pPr>
      <w:r>
        <w:tab/>
      </w:r>
      <w:r>
        <w:tab/>
        <w:t>g.</w:t>
      </w:r>
      <w:r>
        <w:tab/>
      </w:r>
      <w:r w:rsidR="00596C46">
        <w:t>R</w:t>
      </w:r>
      <w:r w:rsidR="00474337">
        <w:t>esearch: Jim Smay –</w:t>
      </w:r>
      <w:r w:rsidR="009707BD">
        <w:t xml:space="preserve"> </w:t>
      </w:r>
      <w:r w:rsidR="00F817B0">
        <w:t>No Report</w:t>
      </w:r>
    </w:p>
    <w:p w:rsidR="001E3623" w:rsidRPr="00F817B0" w:rsidRDefault="001D5B79" w:rsidP="00F817B0">
      <w:pPr>
        <w:tabs>
          <w:tab w:val="left" w:pos="360"/>
          <w:tab w:val="left" w:pos="965"/>
          <w:tab w:val="left" w:pos="1325"/>
        </w:tabs>
        <w:spacing w:before="120"/>
      </w:pPr>
      <w:r>
        <w:tab/>
      </w:r>
      <w:r>
        <w:tab/>
        <w:t>h.</w:t>
      </w:r>
      <w:r>
        <w:tab/>
      </w:r>
      <w:r w:rsidR="00681AEF">
        <w:t>Re</w:t>
      </w:r>
      <w:r w:rsidR="001E3623">
        <w:t>tir</w:t>
      </w:r>
      <w:r w:rsidR="00C41C2B">
        <w:t xml:space="preserve">ement &amp; Fringe Benefits: </w:t>
      </w:r>
      <w:r w:rsidR="002C2882">
        <w:t>Stephen Clarke</w:t>
      </w:r>
      <w:r w:rsidR="001E3623">
        <w:t xml:space="preserve"> </w:t>
      </w:r>
      <w:r w:rsidR="00F817B0">
        <w:t>– No Report</w:t>
      </w:r>
    </w:p>
    <w:p w:rsidR="008C0290" w:rsidRPr="00F817B0" w:rsidRDefault="00681AEF" w:rsidP="00F817B0">
      <w:pPr>
        <w:numPr>
          <w:ilvl w:val="0"/>
          <w:numId w:val="2"/>
        </w:numPr>
        <w:tabs>
          <w:tab w:val="left" w:pos="360"/>
          <w:tab w:val="left" w:pos="960"/>
          <w:tab w:val="left" w:pos="1320"/>
        </w:tabs>
        <w:spacing w:before="120"/>
      </w:pPr>
      <w:r>
        <w:t xml:space="preserve">Rules </w:t>
      </w:r>
      <w:r w:rsidR="008C0290">
        <w:t>and Procedures:  Robert Avakian</w:t>
      </w:r>
      <w:r>
        <w:t xml:space="preserve"> </w:t>
      </w:r>
      <w:r w:rsidR="00363CBD">
        <w:t>–</w:t>
      </w:r>
      <w:r>
        <w:t xml:space="preserve"> </w:t>
      </w:r>
      <w:r w:rsidR="00F817B0">
        <w:t>Update</w:t>
      </w:r>
    </w:p>
    <w:p w:rsidR="001B2EB6" w:rsidRPr="00F817B0" w:rsidRDefault="00681AEF" w:rsidP="00F817B0">
      <w:pPr>
        <w:pStyle w:val="EnvelopeReturn"/>
        <w:tabs>
          <w:tab w:val="left" w:pos="360"/>
          <w:tab w:val="left" w:pos="965"/>
          <w:tab w:val="left" w:pos="1325"/>
        </w:tabs>
        <w:spacing w:before="120"/>
      </w:pPr>
      <w:r>
        <w:rPr>
          <w:rFonts w:cs="Times New Roman"/>
          <w:szCs w:val="24"/>
        </w:rPr>
        <w:tab/>
      </w:r>
      <w:r>
        <w:rPr>
          <w:rFonts w:cs="Times New Roman"/>
          <w:szCs w:val="24"/>
        </w:rPr>
        <w:tab/>
      </w:r>
      <w:r w:rsidR="001D5B79">
        <w:rPr>
          <w:rFonts w:cs="Times New Roman"/>
          <w:szCs w:val="24"/>
        </w:rPr>
        <w:t>j.</w:t>
      </w:r>
      <w:r w:rsidR="001D5B79">
        <w:rPr>
          <w:rFonts w:cs="Times New Roman"/>
          <w:szCs w:val="24"/>
        </w:rPr>
        <w:tab/>
        <w:t xml:space="preserve">Student Affairs and Learning Resources:  </w:t>
      </w:r>
      <w:r w:rsidR="00AA4258">
        <w:rPr>
          <w:rFonts w:cs="Times New Roman"/>
          <w:szCs w:val="24"/>
        </w:rPr>
        <w:t>Bob Miller</w:t>
      </w:r>
      <w:r w:rsidR="001D5B79">
        <w:rPr>
          <w:rFonts w:cs="Times New Roman"/>
          <w:szCs w:val="24"/>
        </w:rPr>
        <w:t xml:space="preserve"> – </w:t>
      </w:r>
      <w:r w:rsidR="00F817B0">
        <w:rPr>
          <w:rFonts w:cs="Times New Roman"/>
          <w:szCs w:val="24"/>
        </w:rPr>
        <w:t>No Report</w:t>
      </w:r>
      <w:r w:rsidR="001B2EB6">
        <w:tab/>
      </w:r>
      <w:r w:rsidR="001B2EB6">
        <w:tab/>
      </w:r>
    </w:p>
    <w:p w:rsidR="00935D75" w:rsidRDefault="001D5B79" w:rsidP="00890A39">
      <w:pPr>
        <w:tabs>
          <w:tab w:val="left" w:pos="360"/>
          <w:tab w:val="left" w:pos="965"/>
          <w:tab w:val="left" w:pos="1325"/>
        </w:tabs>
        <w:spacing w:before="120"/>
      </w:pPr>
      <w:r>
        <w:tab/>
        <w:t xml:space="preserve"> 8.</w:t>
      </w:r>
      <w:r>
        <w:tab/>
        <w:t xml:space="preserve">Reports of Liaison Representatives </w:t>
      </w:r>
    </w:p>
    <w:p w:rsidR="001D5B79" w:rsidRDefault="001D5B79" w:rsidP="001D5B79">
      <w:pPr>
        <w:pStyle w:val="EnvelopeReturn"/>
        <w:tabs>
          <w:tab w:val="left" w:pos="360"/>
          <w:tab w:val="left" w:pos="965"/>
          <w:tab w:val="left" w:pos="1325"/>
        </w:tabs>
        <w:spacing w:before="120"/>
      </w:pPr>
      <w:r>
        <w:tab/>
        <w:t xml:space="preserve"> 9.</w:t>
      </w:r>
      <w:r>
        <w:tab/>
        <w:t>Old Business</w:t>
      </w:r>
    </w:p>
    <w:p w:rsidR="001D5B79" w:rsidRDefault="001D5B79" w:rsidP="001D5B79">
      <w:pPr>
        <w:pStyle w:val="EnvelopeReturn"/>
        <w:tabs>
          <w:tab w:val="left" w:pos="360"/>
          <w:tab w:val="left" w:pos="965"/>
          <w:tab w:val="left" w:pos="1325"/>
        </w:tabs>
        <w:spacing w:before="120"/>
      </w:pPr>
      <w:r>
        <w:tab/>
        <w:t>10.</w:t>
      </w:r>
      <w:r>
        <w:tab/>
        <w:t>New Business</w:t>
      </w:r>
    </w:p>
    <w:p w:rsidR="001D5B79" w:rsidRDefault="001D5B79" w:rsidP="001D5B79">
      <w:pPr>
        <w:tabs>
          <w:tab w:val="left" w:pos="360"/>
          <w:tab w:val="left" w:pos="907"/>
          <w:tab w:val="left" w:pos="1260"/>
        </w:tabs>
        <w:spacing w:before="120"/>
      </w:pPr>
      <w:r>
        <w:tab/>
        <w:t>11.</w:t>
      </w:r>
      <w:r>
        <w:tab/>
        <w:t>Adjournment</w:t>
      </w:r>
    </w:p>
    <w:p w:rsidR="001D5B79" w:rsidRDefault="001D5B79" w:rsidP="001D5B79">
      <w:pPr>
        <w:tabs>
          <w:tab w:val="left" w:pos="360"/>
          <w:tab w:val="left" w:pos="907"/>
          <w:tab w:val="left" w:pos="1260"/>
        </w:tabs>
      </w:pPr>
    </w:p>
    <w:p w:rsidR="001D5B79" w:rsidRDefault="001D5B79" w:rsidP="001D5B79">
      <w:pPr>
        <w:tabs>
          <w:tab w:val="left" w:pos="360"/>
          <w:tab w:val="left" w:pos="907"/>
          <w:tab w:val="left" w:pos="1260"/>
        </w:tabs>
        <w:jc w:val="center"/>
      </w:pPr>
      <w:r>
        <w:rPr>
          <w:i/>
        </w:rPr>
        <w:t>Refreshments will be served at 2:45 p.m.</w:t>
      </w:r>
    </w:p>
    <w:p w:rsidR="001D5B79" w:rsidRDefault="001D5B79" w:rsidP="001D5B79">
      <w:pPr>
        <w:tabs>
          <w:tab w:val="left" w:pos="360"/>
          <w:tab w:val="left" w:pos="907"/>
          <w:tab w:val="left" w:pos="1260"/>
        </w:tabs>
      </w:pPr>
    </w:p>
    <w:p w:rsidR="00311A98" w:rsidRDefault="00311A98" w:rsidP="001D5B79">
      <w:pPr>
        <w:tabs>
          <w:tab w:val="left" w:pos="360"/>
          <w:tab w:val="left" w:pos="907"/>
          <w:tab w:val="left" w:pos="1260"/>
        </w:tabs>
        <w:rPr>
          <w:sz w:val="22"/>
        </w:rPr>
      </w:pPr>
    </w:p>
    <w:p w:rsidR="00311A98" w:rsidRDefault="00602211" w:rsidP="00835DB7">
      <w:pPr>
        <w:rPr>
          <w:i/>
          <w:sz w:val="22"/>
        </w:rPr>
      </w:pPr>
      <w:r w:rsidRPr="00602211">
        <w:rPr>
          <w:i/>
          <w:sz w:val="22"/>
        </w:rPr>
        <w:t>*Attached</w:t>
      </w:r>
    </w:p>
    <w:p w:rsidR="00602211" w:rsidRDefault="00602211" w:rsidP="00835DB7">
      <w:pPr>
        <w:rPr>
          <w:sz w:val="22"/>
        </w:rPr>
      </w:pPr>
    </w:p>
    <w:p w:rsidR="00602211" w:rsidRDefault="00602211" w:rsidP="00835DB7">
      <w:pPr>
        <w:rPr>
          <w:sz w:val="22"/>
        </w:rPr>
      </w:pPr>
    </w:p>
    <w:p w:rsidR="00602211" w:rsidRDefault="00602211" w:rsidP="00835DB7">
      <w:pPr>
        <w:rPr>
          <w:sz w:val="22"/>
        </w:rPr>
      </w:pPr>
    </w:p>
    <w:p w:rsidR="00602211" w:rsidRDefault="00602211" w:rsidP="00835DB7">
      <w:pPr>
        <w:rPr>
          <w:sz w:val="22"/>
        </w:rPr>
      </w:pPr>
    </w:p>
    <w:p w:rsidR="00602211" w:rsidRDefault="00602211" w:rsidP="00835DB7">
      <w:pPr>
        <w:rPr>
          <w:sz w:val="22"/>
        </w:rPr>
      </w:pPr>
    </w:p>
    <w:p w:rsidR="00602211" w:rsidRPr="00CE7B29" w:rsidRDefault="00602211" w:rsidP="00602211">
      <w:pPr>
        <w:rPr>
          <w:b/>
        </w:rPr>
      </w:pPr>
      <w:r>
        <w:rPr>
          <w:b/>
        </w:rPr>
        <w:lastRenderedPageBreak/>
        <w:tab/>
      </w:r>
      <w:r>
        <w:rPr>
          <w:b/>
        </w:rPr>
        <w:tab/>
      </w:r>
      <w:r>
        <w:rPr>
          <w:b/>
        </w:rPr>
        <w:tab/>
      </w:r>
      <w:r>
        <w:rPr>
          <w:b/>
        </w:rPr>
        <w:tab/>
      </w:r>
      <w:r>
        <w:rPr>
          <w:b/>
        </w:rPr>
        <w:tab/>
      </w:r>
      <w:r>
        <w:rPr>
          <w:b/>
        </w:rPr>
        <w:tab/>
      </w:r>
      <w:r>
        <w:rPr>
          <w:b/>
        </w:rPr>
        <w:tab/>
      </w:r>
      <w:r>
        <w:rPr>
          <w:b/>
        </w:rPr>
        <w:t>Amended by</w:t>
      </w:r>
      <w:r>
        <w:rPr>
          <w:b/>
        </w:rPr>
        <w:tab/>
      </w:r>
      <w:r>
        <w:rPr>
          <w:b/>
        </w:rPr>
        <w:tab/>
        <w:t>Passed</w:t>
      </w:r>
      <w:r>
        <w:rPr>
          <w:b/>
        </w:rPr>
        <w:tab/>
        <w:t xml:space="preserve">      Failed</w:t>
      </w:r>
    </w:p>
    <w:p w:rsidR="00602211" w:rsidRDefault="00602211" w:rsidP="00602211">
      <w:pPr>
        <w:rPr>
          <w:b/>
        </w:rPr>
      </w:pPr>
    </w:p>
    <w:p w:rsidR="00602211" w:rsidRDefault="00602211" w:rsidP="00602211">
      <w:proofErr w:type="gramStart"/>
      <w:r>
        <w:rPr>
          <w:b/>
        </w:rPr>
        <w:t>Recommendation No.</w:t>
      </w:r>
      <w:proofErr w:type="gramEnd"/>
      <w:r>
        <w:rPr>
          <w:u w:val="single"/>
        </w:rPr>
        <w:t xml:space="preserve">   </w:t>
      </w:r>
      <w:proofErr w:type="gramStart"/>
      <w:r>
        <w:rPr>
          <w:u w:val="single"/>
        </w:rPr>
        <w:t>12-02-01-ASP</w:t>
      </w:r>
      <w:r>
        <w:rPr>
          <w:u w:val="single"/>
        </w:rPr>
        <w:tab/>
      </w:r>
      <w:r>
        <w:tab/>
        <w:t>1.</w:t>
      </w:r>
      <w:proofErr w:type="gramEnd"/>
      <w:r>
        <w:rPr>
          <w:u w:val="single"/>
        </w:rPr>
        <w:tab/>
      </w:r>
      <w:r>
        <w:rPr>
          <w:u w:val="single"/>
        </w:rPr>
        <w:tab/>
      </w:r>
      <w:r>
        <w:rPr>
          <w:u w:val="single"/>
        </w:rPr>
        <w:tab/>
      </w:r>
      <w:r>
        <w:t xml:space="preserve">   </w:t>
      </w:r>
      <w:r>
        <w:rPr>
          <w:u w:val="single"/>
        </w:rPr>
        <w:tab/>
      </w:r>
      <w:r>
        <w:t xml:space="preserve">   </w:t>
      </w:r>
      <w:r>
        <w:rPr>
          <w:u w:val="single"/>
        </w:rPr>
        <w:tab/>
      </w:r>
      <w:r>
        <w:rPr>
          <w:u w:val="single"/>
        </w:rPr>
        <w:tab/>
      </w:r>
    </w:p>
    <w:p w:rsidR="00602211" w:rsidRDefault="00602211" w:rsidP="00602211">
      <w:pPr>
        <w:rPr>
          <w:b/>
        </w:rPr>
      </w:pPr>
    </w:p>
    <w:p w:rsidR="00602211" w:rsidRDefault="00602211" w:rsidP="00602211">
      <w:proofErr w:type="gramStart"/>
      <w:r>
        <w:rPr>
          <w:b/>
        </w:rPr>
        <w:t>Moved by:</w:t>
      </w:r>
      <w:r>
        <w:t xml:space="preserve"> </w:t>
      </w:r>
      <w:r>
        <w:rPr>
          <w:u w:val="single"/>
        </w:rPr>
        <w:tab/>
      </w:r>
      <w:r>
        <w:rPr>
          <w:u w:val="single"/>
        </w:rPr>
        <w:tab/>
      </w:r>
      <w:r>
        <w:rPr>
          <w:u w:val="single"/>
        </w:rPr>
        <w:tab/>
      </w:r>
      <w:r>
        <w:rPr>
          <w:u w:val="single"/>
        </w:rPr>
        <w:tab/>
      </w:r>
      <w:r>
        <w:rPr>
          <w:u w:val="single"/>
        </w:rPr>
        <w:tab/>
      </w:r>
      <w:r>
        <w:t xml:space="preserve">  </w:t>
      </w:r>
      <w:r>
        <w:tab/>
        <w:t>2.</w:t>
      </w:r>
      <w:proofErr w:type="gramEnd"/>
      <w:r>
        <w:rPr>
          <w:u w:val="single"/>
        </w:rPr>
        <w:tab/>
      </w:r>
      <w:r>
        <w:rPr>
          <w:u w:val="single"/>
        </w:rPr>
        <w:tab/>
      </w:r>
      <w:r>
        <w:rPr>
          <w:u w:val="single"/>
        </w:rPr>
        <w:tab/>
      </w:r>
      <w:r>
        <w:t xml:space="preserve">   </w:t>
      </w:r>
      <w:r>
        <w:rPr>
          <w:u w:val="single"/>
        </w:rPr>
        <w:tab/>
      </w:r>
      <w:r>
        <w:t xml:space="preserve">   </w:t>
      </w:r>
      <w:r>
        <w:rPr>
          <w:u w:val="single"/>
        </w:rPr>
        <w:tab/>
      </w:r>
      <w:r>
        <w:rPr>
          <w:u w:val="single"/>
        </w:rPr>
        <w:tab/>
      </w:r>
    </w:p>
    <w:p w:rsidR="00602211" w:rsidRDefault="00602211" w:rsidP="00602211">
      <w:pPr>
        <w:rPr>
          <w:b/>
        </w:rPr>
      </w:pPr>
    </w:p>
    <w:p w:rsidR="00602211" w:rsidRDefault="00602211" w:rsidP="00602211">
      <w:proofErr w:type="gramStart"/>
      <w:r>
        <w:rPr>
          <w:b/>
        </w:rPr>
        <w:t>Seconded by:</w:t>
      </w:r>
      <w:r>
        <w:rPr>
          <w:u w:val="single"/>
        </w:rPr>
        <w:tab/>
      </w:r>
      <w:r>
        <w:rPr>
          <w:u w:val="single"/>
        </w:rPr>
        <w:tab/>
      </w:r>
      <w:r>
        <w:rPr>
          <w:u w:val="single"/>
        </w:rPr>
        <w:tab/>
      </w:r>
      <w:r>
        <w:rPr>
          <w:u w:val="single"/>
        </w:rPr>
        <w:tab/>
      </w:r>
      <w:r>
        <w:rPr>
          <w:u w:val="single"/>
        </w:rPr>
        <w:tab/>
      </w:r>
      <w:r>
        <w:t xml:space="preserve">  </w:t>
      </w:r>
      <w:r>
        <w:tab/>
        <w:t>3.</w:t>
      </w:r>
      <w:proofErr w:type="gramEnd"/>
      <w:r>
        <w:rPr>
          <w:u w:val="single"/>
        </w:rPr>
        <w:tab/>
      </w:r>
      <w:r>
        <w:rPr>
          <w:u w:val="single"/>
        </w:rPr>
        <w:tab/>
      </w:r>
      <w:r>
        <w:rPr>
          <w:u w:val="single"/>
        </w:rPr>
        <w:tab/>
      </w:r>
      <w:r>
        <w:t xml:space="preserve">   </w:t>
      </w:r>
      <w:r>
        <w:rPr>
          <w:u w:val="single"/>
        </w:rPr>
        <w:tab/>
      </w:r>
      <w:r>
        <w:t xml:space="preserve">   </w:t>
      </w:r>
      <w:r>
        <w:rPr>
          <w:u w:val="single"/>
        </w:rPr>
        <w:tab/>
      </w:r>
      <w:r>
        <w:rPr>
          <w:u w:val="single"/>
        </w:rPr>
        <w:tab/>
      </w:r>
    </w:p>
    <w:p w:rsidR="00602211" w:rsidRDefault="00602211" w:rsidP="00602211">
      <w:pPr>
        <w:rPr>
          <w:b/>
        </w:rPr>
      </w:pPr>
    </w:p>
    <w:p w:rsidR="00602211" w:rsidRDefault="00602211" w:rsidP="00602211">
      <w:r>
        <w:rPr>
          <w:b/>
        </w:rPr>
        <w:t>_____</w:t>
      </w:r>
      <w:proofErr w:type="gramStart"/>
      <w:r>
        <w:rPr>
          <w:b/>
        </w:rPr>
        <w:t>Passed  _</w:t>
      </w:r>
      <w:proofErr w:type="gramEnd"/>
      <w:r>
        <w:rPr>
          <w:b/>
        </w:rPr>
        <w:t>____Tabled   _____Failed</w:t>
      </w:r>
      <w:r>
        <w:t xml:space="preserve">          </w:t>
      </w:r>
      <w:r>
        <w:tab/>
        <w:t>4.</w:t>
      </w:r>
      <w:r>
        <w:rPr>
          <w:u w:val="single"/>
        </w:rPr>
        <w:tab/>
      </w:r>
      <w:r>
        <w:rPr>
          <w:u w:val="single"/>
        </w:rPr>
        <w:tab/>
      </w:r>
      <w:r>
        <w:rPr>
          <w:u w:val="single"/>
        </w:rPr>
        <w:tab/>
      </w:r>
      <w:r>
        <w:t xml:space="preserve">   </w:t>
      </w:r>
      <w:r>
        <w:rPr>
          <w:u w:val="single"/>
        </w:rPr>
        <w:tab/>
      </w:r>
      <w:r>
        <w:t xml:space="preserve">   </w:t>
      </w:r>
      <w:r>
        <w:rPr>
          <w:u w:val="single"/>
        </w:rPr>
        <w:tab/>
      </w:r>
      <w:r>
        <w:rPr>
          <w:u w:val="single"/>
        </w:rPr>
        <w:tab/>
      </w:r>
    </w:p>
    <w:p w:rsidR="00602211" w:rsidRDefault="00602211" w:rsidP="00602211">
      <w:pPr>
        <w:rPr>
          <w:b/>
        </w:rPr>
      </w:pPr>
    </w:p>
    <w:p w:rsidR="00602211" w:rsidRDefault="00602211" w:rsidP="00602211">
      <w:r>
        <w:rPr>
          <w:b/>
        </w:rPr>
        <w:t>Title:</w:t>
      </w:r>
      <w:r>
        <w:rPr>
          <w:u w:val="single"/>
        </w:rPr>
        <w:tab/>
        <w:t>Veterinary Medical Research Scholars</w:t>
      </w:r>
      <w:r>
        <w:rPr>
          <w:u w:val="single"/>
        </w:rPr>
        <w:tab/>
      </w:r>
      <w:r>
        <w:rPr>
          <w:u w:val="single"/>
        </w:rPr>
        <w:tab/>
      </w:r>
      <w:r>
        <w:rPr>
          <w:u w:val="single"/>
        </w:rPr>
        <w:tab/>
      </w:r>
      <w:r>
        <w:rPr>
          <w:u w:val="single"/>
        </w:rPr>
        <w:tab/>
      </w:r>
    </w:p>
    <w:p w:rsidR="00602211" w:rsidRDefault="00602211" w:rsidP="00602211"/>
    <w:p w:rsidR="00602211" w:rsidRDefault="00602211" w:rsidP="00602211">
      <w:r>
        <w:rPr>
          <w:b/>
        </w:rPr>
        <w:t>The Faculty Council Recommends to President Hargis that:</w:t>
      </w:r>
    </w:p>
    <w:p w:rsidR="00602211" w:rsidRDefault="00602211" w:rsidP="00602211"/>
    <w:p w:rsidR="00602211" w:rsidRDefault="00602211" w:rsidP="00602211">
      <w:r>
        <w:t xml:space="preserve">The University </w:t>
      </w:r>
      <w:proofErr w:type="gramStart"/>
      <w:r>
        <w:t>create</w:t>
      </w:r>
      <w:proofErr w:type="gramEnd"/>
      <w:r>
        <w:t xml:space="preserve"> a Veterinary Medical Research Scholar designation on the transcript of veterinary medical students who complete specific requirements associated with the conduct, presentation and publication of original research work.</w:t>
      </w:r>
    </w:p>
    <w:p w:rsidR="00602211" w:rsidRDefault="00602211" w:rsidP="00602211"/>
    <w:p w:rsidR="00602211" w:rsidRDefault="00602211" w:rsidP="00602211">
      <w:r>
        <w:rPr>
          <w:b/>
        </w:rPr>
        <w:t>Requirements</w:t>
      </w:r>
    </w:p>
    <w:p w:rsidR="00602211" w:rsidRDefault="00602211" w:rsidP="00602211"/>
    <w:p w:rsidR="00602211" w:rsidRDefault="00602211" w:rsidP="00602211">
      <w:r>
        <w:t xml:space="preserve">Students must complete </w:t>
      </w:r>
      <w:r>
        <w:rPr>
          <w:u w:val="single"/>
        </w:rPr>
        <w:t>all of the following requirements</w:t>
      </w:r>
      <w:r>
        <w:t xml:space="preserve"> to receive the Veterinary Medical Research Scholar designation:</w:t>
      </w:r>
    </w:p>
    <w:p w:rsidR="00602211" w:rsidRDefault="00602211" w:rsidP="00602211"/>
    <w:p w:rsidR="00602211" w:rsidRDefault="00602211" w:rsidP="00602211">
      <w:pPr>
        <w:pStyle w:val="ListParagraph"/>
        <w:numPr>
          <w:ilvl w:val="0"/>
          <w:numId w:val="3"/>
        </w:numPr>
        <w:spacing w:line="276" w:lineRule="auto"/>
      </w:pPr>
      <w:r>
        <w:t>For a minimum of two semesters or in full-time summer employment, the student must be engaged in and contribute substantively to research or creative inquiry with a faculty mentor and/or faculty-led team.  The supervising mentor may be employed at Oklahoma State University or at another university.</w:t>
      </w:r>
    </w:p>
    <w:p w:rsidR="00602211" w:rsidRDefault="00602211" w:rsidP="00602211">
      <w:pPr>
        <w:pStyle w:val="ListParagraph"/>
        <w:numPr>
          <w:ilvl w:val="0"/>
          <w:numId w:val="3"/>
        </w:numPr>
        <w:spacing w:line="276" w:lineRule="auto"/>
      </w:pPr>
      <w:r>
        <w:t xml:space="preserve">The student must present his or her research or creativity project at a state, regional, or national conference. </w:t>
      </w:r>
      <w:proofErr w:type="gramStart"/>
      <w:r>
        <w:t>or</w:t>
      </w:r>
      <w:proofErr w:type="gramEnd"/>
      <w:r>
        <w:t xml:space="preserve"> juried artistic venues.</w:t>
      </w:r>
    </w:p>
    <w:p w:rsidR="00602211" w:rsidRDefault="00602211" w:rsidP="00602211">
      <w:pPr>
        <w:pStyle w:val="ListParagraph"/>
        <w:numPr>
          <w:ilvl w:val="0"/>
          <w:numId w:val="3"/>
        </w:numPr>
        <w:spacing w:line="276" w:lineRule="auto"/>
      </w:pPr>
      <w:r>
        <w:t xml:space="preserve">Student must publish their work or </w:t>
      </w:r>
      <w:proofErr w:type="gramStart"/>
      <w:r>
        <w:t>a manuscript related to their creativity product, or have</w:t>
      </w:r>
      <w:proofErr w:type="gramEnd"/>
      <w:r>
        <w:t xml:space="preserve"> it accepted for publication, in a refereed research or professional journal.</w:t>
      </w:r>
    </w:p>
    <w:p w:rsidR="00602211" w:rsidRDefault="00602211" w:rsidP="00602211"/>
    <w:p w:rsidR="00602211" w:rsidRDefault="00602211" w:rsidP="00602211">
      <w:r>
        <w:rPr>
          <w:b/>
        </w:rPr>
        <w:t>Further clarifying points:</w:t>
      </w:r>
    </w:p>
    <w:p w:rsidR="00602211" w:rsidRDefault="00602211" w:rsidP="00602211"/>
    <w:p w:rsidR="00602211" w:rsidRDefault="00602211" w:rsidP="00602211">
      <w:pPr>
        <w:pStyle w:val="ListParagraph"/>
        <w:numPr>
          <w:ilvl w:val="0"/>
          <w:numId w:val="4"/>
        </w:numPr>
        <w:spacing w:line="276" w:lineRule="auto"/>
      </w:pPr>
      <w:r>
        <w:t>This is an opportunity that is available to students enrolled full time and working toward the DVM degree.</w:t>
      </w:r>
    </w:p>
    <w:p w:rsidR="00602211" w:rsidRDefault="00602211" w:rsidP="00602211">
      <w:pPr>
        <w:pStyle w:val="ListParagraph"/>
        <w:numPr>
          <w:ilvl w:val="0"/>
          <w:numId w:val="4"/>
        </w:numPr>
        <w:spacing w:line="276" w:lineRule="auto"/>
      </w:pPr>
      <w:r>
        <w:t>The designation is not tied to the conferral of a degree.  It could be completed and placed on a transcript prior to a student’s completion of the degree.  It could also be completed within a year after the degree is earned so delays in the publication process will not prevent a student from earning the distinction.</w:t>
      </w:r>
    </w:p>
    <w:p w:rsidR="00602211" w:rsidRDefault="00602211" w:rsidP="00602211">
      <w:pPr>
        <w:pStyle w:val="ListParagraph"/>
        <w:numPr>
          <w:ilvl w:val="0"/>
          <w:numId w:val="4"/>
        </w:numPr>
        <w:spacing w:line="276" w:lineRule="auto"/>
      </w:pPr>
      <w:r>
        <w:t>The Provost or a designee of the Provost will serve as the certifying agent for completion of the requirements with the help of a faculty committee set up with rotating terms to provide continuity.</w:t>
      </w:r>
    </w:p>
    <w:p w:rsidR="00602211" w:rsidRDefault="00602211" w:rsidP="00602211">
      <w:pPr>
        <w:pStyle w:val="ListParagraph"/>
        <w:numPr>
          <w:ilvl w:val="0"/>
          <w:numId w:val="4"/>
        </w:numPr>
        <w:spacing w:line="276" w:lineRule="auto"/>
      </w:pPr>
      <w:r>
        <w:t>The criteria and application process needs to be described in the OSU Catalog.</w:t>
      </w:r>
    </w:p>
    <w:p w:rsidR="00602211" w:rsidRDefault="00602211" w:rsidP="00602211"/>
    <w:p w:rsidR="00602211" w:rsidRDefault="00602211" w:rsidP="00602211">
      <w:pPr>
        <w:rPr>
          <w:b/>
        </w:rPr>
      </w:pPr>
    </w:p>
    <w:p w:rsidR="00602211" w:rsidRDefault="00602211" w:rsidP="00602211">
      <w:pPr>
        <w:rPr>
          <w:b/>
        </w:rPr>
      </w:pPr>
    </w:p>
    <w:p w:rsidR="00602211" w:rsidRDefault="00602211" w:rsidP="00602211">
      <w:pPr>
        <w:rPr>
          <w:b/>
        </w:rPr>
      </w:pPr>
    </w:p>
    <w:p w:rsidR="00602211" w:rsidRDefault="00602211" w:rsidP="00602211">
      <w:bookmarkStart w:id="0" w:name="_GoBack"/>
      <w:bookmarkEnd w:id="0"/>
      <w:r>
        <w:rPr>
          <w:b/>
        </w:rPr>
        <w:lastRenderedPageBreak/>
        <w:t>Committee</w:t>
      </w:r>
    </w:p>
    <w:p w:rsidR="00602211" w:rsidRDefault="00602211" w:rsidP="00602211"/>
    <w:p w:rsidR="00602211" w:rsidRDefault="00602211" w:rsidP="00602211">
      <w:r>
        <w:t>The faculty committee would be composed of one faculty representative from the College of Agricultural Sciences and Natural Resources; Spears School of Business; College of Education; College of Engineering; Architecture and Technology; and College of Human Environmental Sciences.  The College of Arts and Sciences would have one representative for the humanities, one for social sciences, and one for natural sciences or analytical &amp; quantitative thought.  Applications submitted by students from the College of Veterinary Medicine will be processed by the faculty committee described above, plus a representative from the College of Veterinary Medicine.  These college representatives would be appointed by the Nominations Committee of Faculty Council, and would serve rotating three year terms.</w:t>
      </w:r>
    </w:p>
    <w:p w:rsidR="00602211" w:rsidRPr="008C4C72" w:rsidRDefault="00602211" w:rsidP="00602211"/>
    <w:p w:rsidR="00602211" w:rsidRDefault="00602211" w:rsidP="00602211">
      <w:r>
        <w:rPr>
          <w:b/>
        </w:rPr>
        <w:t>Process</w:t>
      </w:r>
    </w:p>
    <w:p w:rsidR="00602211" w:rsidRDefault="00602211" w:rsidP="00602211"/>
    <w:p w:rsidR="00602211" w:rsidRDefault="00602211" w:rsidP="00602211">
      <w:r>
        <w:t xml:space="preserve">The process would be for the students to submit an application (a mock-up attached), which summarizes their research and to obtain the signatures of their faculty mentor and the department head.  They would submit the form with proof of presentation and publication (program, abstract, title page, </w:t>
      </w:r>
      <w:proofErr w:type="spellStart"/>
      <w:r>
        <w:t>etc</w:t>
      </w:r>
      <w:proofErr w:type="spellEnd"/>
      <w:r>
        <w:t>).  The faculty committee would confirm that the student has met the requirements for the Research award and the Provost or designee could then certify to the registrar the students meeting the criteria and the appropriate designation would be entered on the transcript.</w:t>
      </w:r>
    </w:p>
    <w:p w:rsidR="00602211" w:rsidRDefault="00602211" w:rsidP="00602211"/>
    <w:p w:rsidR="00602211" w:rsidRDefault="00602211" w:rsidP="00602211">
      <w:r>
        <w:t xml:space="preserve">Students would be given an honor cord of designated color to signify their status as </w:t>
      </w:r>
      <w:proofErr w:type="gramStart"/>
      <w:r>
        <w:t>an</w:t>
      </w:r>
      <w:proofErr w:type="gramEnd"/>
      <w:r>
        <w:t xml:space="preserve"> Veterinary Medical Research Scholar.  Recognition could be given at graduation as deemed appropriate.</w:t>
      </w:r>
    </w:p>
    <w:p w:rsidR="00602211" w:rsidRDefault="00602211" w:rsidP="00602211"/>
    <w:p w:rsidR="00602211" w:rsidRDefault="00602211" w:rsidP="00602211">
      <w:r>
        <w:rPr>
          <w:b/>
        </w:rPr>
        <w:t>Rationale:</w:t>
      </w:r>
    </w:p>
    <w:p w:rsidR="00602211" w:rsidRDefault="00602211" w:rsidP="00602211"/>
    <w:p w:rsidR="00602211" w:rsidRPr="00F7425D" w:rsidRDefault="00602211" w:rsidP="00602211">
      <w:r>
        <w:t xml:space="preserve">The purpose of this designation is to encourage veterinary medical students to engage in sustained, original research with a faculty mentor and to encourage mentors to include veterinary medical in research.  Given the increase in such opportunities at OSU and the creation of the new student research journal, this seems a natural way to </w:t>
      </w:r>
      <w:proofErr w:type="gramStart"/>
      <w:r>
        <w:t>recognize  student</w:t>
      </w:r>
      <w:proofErr w:type="gramEnd"/>
      <w:r>
        <w:t xml:space="preserve"> participation in meaningful research work and to foster further participation.  Doing so should enhance student’s competitiveness for scholarships and awards, graduate school, and employment.</w:t>
      </w:r>
    </w:p>
    <w:p w:rsidR="00602211" w:rsidRDefault="00602211" w:rsidP="00602211">
      <w:pPr>
        <w:rPr>
          <w:u w:val="single"/>
        </w:rPr>
      </w:pPr>
    </w:p>
    <w:p w:rsidR="00602211" w:rsidRDefault="00602211" w:rsidP="00602211">
      <w:r>
        <w:t>OSU would not be the first to develop such a designation but very nearly so.  Example programs and links:</w:t>
      </w:r>
    </w:p>
    <w:p w:rsidR="00602211" w:rsidRDefault="00602211" w:rsidP="00602211"/>
    <w:p w:rsidR="00602211" w:rsidRDefault="00602211" w:rsidP="00602211">
      <w:r>
        <w:tab/>
        <w:t xml:space="preserve">Utah State </w:t>
      </w:r>
      <w:hyperlink r:id="rId9" w:history="1">
        <w:r w:rsidRPr="00976C97">
          <w:rPr>
            <w:rStyle w:val="Hyperlink"/>
          </w:rPr>
          <w:t>http://research.usu.edu/undergrad/htm/awards-recognition/transcript-designation</w:t>
        </w:r>
      </w:hyperlink>
    </w:p>
    <w:p w:rsidR="00602211" w:rsidRDefault="00602211" w:rsidP="00602211">
      <w:r>
        <w:tab/>
        <w:t xml:space="preserve">The University of Utah </w:t>
      </w:r>
      <w:hyperlink r:id="rId10" w:history="1">
        <w:r w:rsidRPr="00976C97">
          <w:rPr>
            <w:rStyle w:val="Hyperlink"/>
          </w:rPr>
          <w:t>http://www.ursd.utah.edu/</w:t>
        </w:r>
      </w:hyperlink>
    </w:p>
    <w:p w:rsidR="00602211" w:rsidRDefault="00602211" w:rsidP="00602211">
      <w:r>
        <w:tab/>
        <w:t>University of North Carolina Chapel Hill</w:t>
      </w:r>
    </w:p>
    <w:p w:rsidR="00602211" w:rsidRDefault="00602211" w:rsidP="00602211">
      <w:r>
        <w:tab/>
      </w:r>
      <w:hyperlink r:id="rId11" w:history="1">
        <w:r w:rsidRPr="00976C97">
          <w:rPr>
            <w:rStyle w:val="Hyperlink"/>
          </w:rPr>
          <w:t>http://www.unc.edu/depts/our/students/students_crsp.html</w:t>
        </w:r>
      </w:hyperlink>
    </w:p>
    <w:p w:rsidR="00602211" w:rsidRPr="00602211" w:rsidRDefault="00602211" w:rsidP="00835DB7">
      <w:pPr>
        <w:rPr>
          <w:sz w:val="22"/>
        </w:rPr>
      </w:pPr>
    </w:p>
    <w:sectPr w:rsidR="00602211" w:rsidRPr="00602211"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882" w:rsidRDefault="002C2882">
      <w:r>
        <w:separator/>
      </w:r>
    </w:p>
  </w:endnote>
  <w:endnote w:type="continuationSeparator" w:id="0">
    <w:p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882" w:rsidRDefault="002C2882">
      <w:r>
        <w:separator/>
      </w:r>
    </w:p>
  </w:footnote>
  <w:footnote w:type="continuationSeparator" w:id="0">
    <w:p w:rsidR="002C2882" w:rsidRDefault="002C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F2026"/>
    <w:multiLevelType w:val="hybridMultilevel"/>
    <w:tmpl w:val="64569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75AC17E3"/>
    <w:multiLevelType w:val="hybridMultilevel"/>
    <w:tmpl w:val="B65EC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4E1"/>
    <w:rsid w:val="000077D3"/>
    <w:rsid w:val="00010136"/>
    <w:rsid w:val="000105B7"/>
    <w:rsid w:val="00010B48"/>
    <w:rsid w:val="00010DFA"/>
    <w:rsid w:val="00011155"/>
    <w:rsid w:val="00011474"/>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EFB"/>
    <w:rsid w:val="000724F7"/>
    <w:rsid w:val="000727BD"/>
    <w:rsid w:val="000728CC"/>
    <w:rsid w:val="000733F5"/>
    <w:rsid w:val="00073CF6"/>
    <w:rsid w:val="00074161"/>
    <w:rsid w:val="0007439D"/>
    <w:rsid w:val="00074605"/>
    <w:rsid w:val="00074830"/>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0D5"/>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2EB6"/>
    <w:rsid w:val="001B3126"/>
    <w:rsid w:val="001B33B5"/>
    <w:rsid w:val="001B35CF"/>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3623"/>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0B4"/>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4C9"/>
    <w:rsid w:val="002917BE"/>
    <w:rsid w:val="002919DD"/>
    <w:rsid w:val="00291A43"/>
    <w:rsid w:val="00291D1D"/>
    <w:rsid w:val="00291E17"/>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ECA"/>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12D"/>
    <w:rsid w:val="002F73E3"/>
    <w:rsid w:val="002F7492"/>
    <w:rsid w:val="002F768E"/>
    <w:rsid w:val="002F796F"/>
    <w:rsid w:val="002F7E3C"/>
    <w:rsid w:val="0030016B"/>
    <w:rsid w:val="00300492"/>
    <w:rsid w:val="003007ED"/>
    <w:rsid w:val="00300DC1"/>
    <w:rsid w:val="00301312"/>
    <w:rsid w:val="003015A4"/>
    <w:rsid w:val="003020D8"/>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DAB"/>
    <w:rsid w:val="003F4EFC"/>
    <w:rsid w:val="003F5065"/>
    <w:rsid w:val="003F5221"/>
    <w:rsid w:val="003F522C"/>
    <w:rsid w:val="003F5E4D"/>
    <w:rsid w:val="003F5F98"/>
    <w:rsid w:val="003F6772"/>
    <w:rsid w:val="003F681F"/>
    <w:rsid w:val="003F6CFF"/>
    <w:rsid w:val="003F6F3B"/>
    <w:rsid w:val="003F78C9"/>
    <w:rsid w:val="003F7C5A"/>
    <w:rsid w:val="0040068D"/>
    <w:rsid w:val="004012A2"/>
    <w:rsid w:val="0040166E"/>
    <w:rsid w:val="00401877"/>
    <w:rsid w:val="00401A5A"/>
    <w:rsid w:val="00401A84"/>
    <w:rsid w:val="00401BD3"/>
    <w:rsid w:val="004020BE"/>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817"/>
    <w:rsid w:val="0042011B"/>
    <w:rsid w:val="004209CA"/>
    <w:rsid w:val="00420C7A"/>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78"/>
    <w:rsid w:val="00423DEC"/>
    <w:rsid w:val="004245D5"/>
    <w:rsid w:val="004246E3"/>
    <w:rsid w:val="004247C1"/>
    <w:rsid w:val="00424931"/>
    <w:rsid w:val="004254BB"/>
    <w:rsid w:val="004257A8"/>
    <w:rsid w:val="00425810"/>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AEF"/>
    <w:rsid w:val="00532C51"/>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211"/>
    <w:rsid w:val="00602337"/>
    <w:rsid w:val="00602482"/>
    <w:rsid w:val="00602532"/>
    <w:rsid w:val="0060253E"/>
    <w:rsid w:val="0060336F"/>
    <w:rsid w:val="006034F3"/>
    <w:rsid w:val="00603596"/>
    <w:rsid w:val="00603C10"/>
    <w:rsid w:val="00603DC8"/>
    <w:rsid w:val="006042A9"/>
    <w:rsid w:val="00604371"/>
    <w:rsid w:val="00604693"/>
    <w:rsid w:val="0060492C"/>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0F59"/>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62"/>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BF"/>
    <w:rsid w:val="0070307D"/>
    <w:rsid w:val="00703526"/>
    <w:rsid w:val="00703581"/>
    <w:rsid w:val="00703BFD"/>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6FA8"/>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475E"/>
    <w:rsid w:val="00834C0D"/>
    <w:rsid w:val="00835352"/>
    <w:rsid w:val="008356A4"/>
    <w:rsid w:val="00835A9B"/>
    <w:rsid w:val="00835D86"/>
    <w:rsid w:val="00835D9D"/>
    <w:rsid w:val="00835DB7"/>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0A39"/>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5D75"/>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2D"/>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9A2"/>
    <w:rsid w:val="00A56AD1"/>
    <w:rsid w:val="00A56B52"/>
    <w:rsid w:val="00A56BE4"/>
    <w:rsid w:val="00A56F7A"/>
    <w:rsid w:val="00A60097"/>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B4C"/>
    <w:rsid w:val="00B15C08"/>
    <w:rsid w:val="00B160C6"/>
    <w:rsid w:val="00B161C8"/>
    <w:rsid w:val="00B16669"/>
    <w:rsid w:val="00B16D8F"/>
    <w:rsid w:val="00B16E56"/>
    <w:rsid w:val="00B1758F"/>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664"/>
    <w:rsid w:val="00B60BAD"/>
    <w:rsid w:val="00B60BFD"/>
    <w:rsid w:val="00B60E05"/>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8BE"/>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0CB"/>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BA"/>
    <w:rsid w:val="00C73EA9"/>
    <w:rsid w:val="00C7448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796"/>
    <w:rsid w:val="00CC79B7"/>
    <w:rsid w:val="00CD0320"/>
    <w:rsid w:val="00CD044E"/>
    <w:rsid w:val="00CD0833"/>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A2C"/>
    <w:rsid w:val="00D62D70"/>
    <w:rsid w:val="00D62E6A"/>
    <w:rsid w:val="00D62F46"/>
    <w:rsid w:val="00D62F9B"/>
    <w:rsid w:val="00D63192"/>
    <w:rsid w:val="00D63224"/>
    <w:rsid w:val="00D6328C"/>
    <w:rsid w:val="00D6356D"/>
    <w:rsid w:val="00D636DC"/>
    <w:rsid w:val="00D63787"/>
    <w:rsid w:val="00D63D14"/>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7C"/>
    <w:rsid w:val="00DB7798"/>
    <w:rsid w:val="00DB7CAE"/>
    <w:rsid w:val="00DB7FB1"/>
    <w:rsid w:val="00DC06E9"/>
    <w:rsid w:val="00DC0E89"/>
    <w:rsid w:val="00DC13B1"/>
    <w:rsid w:val="00DC17AF"/>
    <w:rsid w:val="00DC1B93"/>
    <w:rsid w:val="00DC1DBE"/>
    <w:rsid w:val="00DC1E16"/>
    <w:rsid w:val="00DC20E9"/>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27E6C"/>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3C4"/>
    <w:rsid w:val="00E95B8D"/>
    <w:rsid w:val="00E95F28"/>
    <w:rsid w:val="00E960D5"/>
    <w:rsid w:val="00E96A8D"/>
    <w:rsid w:val="00E96D2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2244"/>
    <w:rsid w:val="00EC22B6"/>
    <w:rsid w:val="00EC23B8"/>
    <w:rsid w:val="00EC275F"/>
    <w:rsid w:val="00EC2EEF"/>
    <w:rsid w:val="00EC35E4"/>
    <w:rsid w:val="00EC365F"/>
    <w:rsid w:val="00EC374B"/>
    <w:rsid w:val="00EC3F38"/>
    <w:rsid w:val="00EC48D5"/>
    <w:rsid w:val="00EC4B27"/>
    <w:rsid w:val="00EC525D"/>
    <w:rsid w:val="00EC52FF"/>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7A9"/>
    <w:rsid w:val="00F1597C"/>
    <w:rsid w:val="00F160B4"/>
    <w:rsid w:val="00F163EE"/>
    <w:rsid w:val="00F169CD"/>
    <w:rsid w:val="00F16A3D"/>
    <w:rsid w:val="00F16ED9"/>
    <w:rsid w:val="00F17249"/>
    <w:rsid w:val="00F17297"/>
    <w:rsid w:val="00F175DF"/>
    <w:rsid w:val="00F17E1E"/>
    <w:rsid w:val="00F17F07"/>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57EF9"/>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C5B"/>
    <w:rsid w:val="00F77FD2"/>
    <w:rsid w:val="00F800C3"/>
    <w:rsid w:val="00F80255"/>
    <w:rsid w:val="00F804D1"/>
    <w:rsid w:val="00F8099B"/>
    <w:rsid w:val="00F80C7A"/>
    <w:rsid w:val="00F80D72"/>
    <w:rsid w:val="00F81265"/>
    <w:rsid w:val="00F81492"/>
    <w:rsid w:val="00F81617"/>
    <w:rsid w:val="00F817B0"/>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c.edu/depts/our/students/students_crsp.html" TargetMode="External"/><Relationship Id="rId5" Type="http://schemas.openxmlformats.org/officeDocument/2006/relationships/settings" Target="settings.xml"/><Relationship Id="rId10" Type="http://schemas.openxmlformats.org/officeDocument/2006/relationships/hyperlink" Target="http://www.ursd.utah.edu/" TargetMode="External"/><Relationship Id="rId4" Type="http://schemas.microsoft.com/office/2007/relationships/stylesWithEffects" Target="stylesWithEffects.xml"/><Relationship Id="rId9" Type="http://schemas.openxmlformats.org/officeDocument/2006/relationships/hyperlink" Target="http://research.usu.edu/undergrad/htm/awards-recognition/transcript-desig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C8007-72B2-4EDF-8B22-85ED3B06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829</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whitepa</cp:lastModifiedBy>
  <cp:revision>4</cp:revision>
  <cp:lastPrinted>2011-11-01T19:28:00Z</cp:lastPrinted>
  <dcterms:created xsi:type="dcterms:W3CDTF">2012-03-07T15:50:00Z</dcterms:created>
  <dcterms:modified xsi:type="dcterms:W3CDTF">2012-03-09T15:01:00Z</dcterms:modified>
</cp:coreProperties>
</file>