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 w:rsidR="006357DC">
        <w:rPr>
          <w:b/>
        </w:rPr>
        <w:t>, Tuesday, August 13</w:t>
      </w:r>
      <w:r w:rsidR="001B3623">
        <w:rPr>
          <w:b/>
        </w:rPr>
        <w:t>, 2013</w:t>
      </w:r>
    </w:p>
    <w:p w:rsidR="00652388" w:rsidRPr="00652388" w:rsidRDefault="00C90133" w:rsidP="00652388">
      <w:pPr>
        <w:pStyle w:val="Heading1"/>
      </w:pPr>
      <w:r>
        <w:t>Council Room, 412 Student Union</w:t>
      </w:r>
    </w:p>
    <w:p w:rsidR="001D5B79" w:rsidRPr="00FD6A1A" w:rsidRDefault="001D5B79" w:rsidP="001D5B79"/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C90133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7320AE" w:rsidRPr="00EE7D22" w:rsidRDefault="007320AE" w:rsidP="007320AE">
      <w:pPr>
        <w:pStyle w:val="EnvelopeReturn"/>
        <w:tabs>
          <w:tab w:val="left" w:pos="360"/>
          <w:tab w:val="left" w:pos="965"/>
          <w:tab w:val="left" w:pos="1325"/>
        </w:tabs>
        <w:spacing w:line="120" w:lineRule="auto"/>
        <w:rPr>
          <w:rFonts w:cs="Times New Roman"/>
        </w:rPr>
      </w:pPr>
    </w:p>
    <w:p w:rsidR="006357DC" w:rsidRPr="00EE7D22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6357DC">
        <w:rPr>
          <w:rFonts w:cs="Times New Roman"/>
        </w:rPr>
        <w:t>May 14</w:t>
      </w:r>
      <w:r w:rsidRPr="006D7AB7">
        <w:rPr>
          <w:rFonts w:cs="Times New Roman"/>
        </w:rPr>
        <w:t>,</w:t>
      </w:r>
      <w:r w:rsidR="001B3623">
        <w:rPr>
          <w:rFonts w:cs="Times New Roman"/>
        </w:rPr>
        <w:t xml:space="preserve"> 2013</w:t>
      </w:r>
      <w:r w:rsidRPr="006D7AB7">
        <w:rPr>
          <w:rFonts w:cs="Times New Roman"/>
        </w:rPr>
        <w:t xml:space="preserve"> Minutes</w:t>
      </w:r>
    </w:p>
    <w:p w:rsidR="006357DC" w:rsidRDefault="001D5B79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</w:r>
      <w:r w:rsidR="006357DC">
        <w:rPr>
          <w:rFonts w:cs="Times New Roman"/>
          <w:szCs w:val="24"/>
        </w:rPr>
        <w:t>Vote for replacement Councilor</w:t>
      </w:r>
    </w:p>
    <w:p w:rsidR="007320AE" w:rsidRDefault="006357DC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4.</w:t>
      </w:r>
      <w:r>
        <w:rPr>
          <w:rFonts w:cs="Times New Roman"/>
          <w:szCs w:val="24"/>
        </w:rPr>
        <w:tab/>
      </w:r>
      <w:r w:rsidR="001D5B79" w:rsidRPr="00EE7D22">
        <w:rPr>
          <w:rFonts w:cs="Times New Roman"/>
          <w:szCs w:val="24"/>
        </w:rPr>
        <w:t>Approval of Agenda</w:t>
      </w:r>
    </w:p>
    <w:p w:rsidR="00C359E5" w:rsidRDefault="00103801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6357DC">
        <w:rPr>
          <w:color w:val="000000"/>
        </w:rPr>
        <w:t xml:space="preserve"> 5</w:t>
      </w:r>
      <w:r w:rsidR="00C359E5">
        <w:rPr>
          <w:color w:val="000000"/>
        </w:rPr>
        <w:t>.</w:t>
      </w:r>
      <w:r w:rsidR="00C359E5">
        <w:rPr>
          <w:color w:val="000000"/>
        </w:rPr>
        <w:tab/>
        <w:t>Special Report:</w:t>
      </w:r>
    </w:p>
    <w:p w:rsidR="00C359E5" w:rsidRDefault="00667945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A. Dr. Brenda Masters – Updates on Finish Orange, Online SSI, OSU-Stillwater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Strategic Plan* and Higher Learning Commission (HLC) Accreditation.</w:t>
      </w:r>
    </w:p>
    <w:p w:rsidR="006357DC" w:rsidRDefault="006357DC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Recommendati</w:t>
      </w:r>
      <w:r w:rsidR="00667945">
        <w:rPr>
          <w:color w:val="000000"/>
        </w:rPr>
        <w:t>on to accept the Strategic Plan</w:t>
      </w:r>
    </w:p>
    <w:p w:rsidR="006357DC" w:rsidRDefault="00D4546C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B. Rubin </w:t>
      </w:r>
      <w:proofErr w:type="spellStart"/>
      <w:r>
        <w:rPr>
          <w:color w:val="000000"/>
        </w:rPr>
        <w:t>P</w:t>
      </w:r>
      <w:r w:rsidR="006357DC">
        <w:rPr>
          <w:color w:val="000000"/>
        </w:rPr>
        <w:t>illay</w:t>
      </w:r>
      <w:proofErr w:type="spellEnd"/>
      <w:r w:rsidR="006357DC">
        <w:rPr>
          <w:color w:val="000000"/>
        </w:rPr>
        <w:t xml:space="preserve"> – </w:t>
      </w:r>
      <w:r>
        <w:rPr>
          <w:color w:val="000000"/>
        </w:rPr>
        <w:t>The Center for Health Systems Innovation</w:t>
      </w:r>
    </w:p>
    <w:p w:rsidR="001B3623" w:rsidRDefault="001B3623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652388" w:rsidRDefault="00C359E5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  <w:t xml:space="preserve"> 5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C90133">
        <w:t>The President – Remarks and Comments</w:t>
      </w:r>
    </w:p>
    <w:p w:rsidR="00652388" w:rsidRDefault="00652388" w:rsidP="00652388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C90133" w:rsidRDefault="00027419" w:rsidP="00C90133">
      <w:pPr>
        <w:tabs>
          <w:tab w:val="left" w:pos="360"/>
          <w:tab w:val="left" w:pos="960"/>
        </w:tabs>
        <w:ind w:left="960" w:hanging="960"/>
      </w:pPr>
      <w:r>
        <w:tab/>
        <w:t xml:space="preserve"> </w:t>
      </w:r>
      <w:r w:rsidR="00C359E5">
        <w:t>6</w:t>
      </w:r>
      <w:r w:rsidR="001D5B79">
        <w:t>.</w:t>
      </w:r>
      <w:r w:rsidR="001D5B79">
        <w:tab/>
      </w:r>
      <w:r w:rsidR="00C90133">
        <w:t>Report of Status of Faculty Council Recommendations:</w:t>
      </w:r>
    </w:p>
    <w:p w:rsidR="00652388" w:rsidRPr="00C90133" w:rsidRDefault="00C90133" w:rsidP="00C90133">
      <w:pPr>
        <w:tabs>
          <w:tab w:val="left" w:pos="360"/>
          <w:tab w:val="left" w:pos="960"/>
          <w:tab w:val="left" w:pos="1325"/>
        </w:tabs>
        <w:spacing w:before="120"/>
        <w:ind w:left="965" w:hanging="965"/>
      </w:pPr>
      <w:r>
        <w:tab/>
      </w:r>
      <w:r>
        <w:tab/>
        <w:t>Pre</w:t>
      </w:r>
      <w:r w:rsidR="006357DC">
        <w:t>sident Hargis, Interim Provost Fry</w:t>
      </w:r>
      <w:r>
        <w:t>, and/or Vice Presidents</w:t>
      </w:r>
      <w:r w:rsidR="00652388">
        <w:rPr>
          <w:color w:val="000000"/>
        </w:rPr>
        <w:t xml:space="preserve"> </w:t>
      </w:r>
    </w:p>
    <w:p w:rsidR="000327A7" w:rsidRPr="00C90133" w:rsidRDefault="00943B79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 xml:space="preserve"> </w:t>
      </w:r>
      <w:r w:rsidR="000327A7">
        <w:tab/>
      </w:r>
    </w:p>
    <w:p w:rsidR="001D5B79" w:rsidRDefault="00027419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7</w:t>
      </w:r>
      <w:r w:rsidR="001D5B79">
        <w:t>.</w:t>
      </w:r>
      <w:r w:rsidR="001D5B79">
        <w:tab/>
        <w:t>Reports of Standing Committees:</w:t>
      </w:r>
    </w:p>
    <w:p w:rsidR="00227FCB" w:rsidRPr="006357DC" w:rsidRDefault="001D5B79" w:rsidP="006357DC">
      <w:pPr>
        <w:tabs>
          <w:tab w:val="left" w:pos="360"/>
          <w:tab w:val="left" w:pos="960"/>
          <w:tab w:val="left" w:pos="1320"/>
        </w:tabs>
        <w:spacing w:before="120"/>
        <w:rPr>
          <w:b/>
        </w:rPr>
      </w:pPr>
      <w:r>
        <w:tab/>
      </w:r>
      <w:r>
        <w:tab/>
      </w:r>
      <w:r w:rsidRPr="006357DC">
        <w:rPr>
          <w:b/>
        </w:rPr>
        <w:t>a.</w:t>
      </w:r>
      <w:r>
        <w:tab/>
      </w:r>
      <w:r w:rsidR="00596C46" w:rsidRPr="007F70FA">
        <w:rPr>
          <w:b/>
        </w:rPr>
        <w:t>Ac</w:t>
      </w:r>
      <w:r w:rsidR="006357DC">
        <w:rPr>
          <w:b/>
        </w:rPr>
        <w:t xml:space="preserve">ademic Standards and Policies: Deb </w:t>
      </w:r>
      <w:proofErr w:type="spellStart"/>
      <w:r w:rsidR="006357DC">
        <w:rPr>
          <w:b/>
        </w:rPr>
        <w:t>VanOverbeke</w:t>
      </w:r>
      <w:proofErr w:type="spellEnd"/>
      <w:r w:rsidR="006357DC">
        <w:rPr>
          <w:b/>
        </w:rPr>
        <w:t xml:space="preserve"> – </w:t>
      </w:r>
      <w:r w:rsidR="00D73364">
        <w:rPr>
          <w:b/>
        </w:rPr>
        <w:t>Up Date</w:t>
      </w:r>
      <w:r w:rsidR="00256C68">
        <w:tab/>
      </w:r>
    </w:p>
    <w:p w:rsidR="00441E25" w:rsidRPr="00441E25" w:rsidRDefault="001D5B79" w:rsidP="006357DC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 w:rsidRPr="007F70FA">
        <w:rPr>
          <w:b/>
        </w:rPr>
        <w:t>b.</w:t>
      </w:r>
      <w:r w:rsidRPr="007F70FA">
        <w:rPr>
          <w:b/>
        </w:rPr>
        <w:tab/>
      </w:r>
      <w:r w:rsidR="00596C46" w:rsidRPr="007F70FA">
        <w:rPr>
          <w:b/>
        </w:rPr>
        <w:t xml:space="preserve">Athletics:  </w:t>
      </w:r>
      <w:r w:rsidR="006357DC">
        <w:rPr>
          <w:b/>
        </w:rPr>
        <w:t xml:space="preserve">Gary Young – </w:t>
      </w:r>
      <w:r w:rsidR="00D73364">
        <w:rPr>
          <w:b/>
        </w:rPr>
        <w:t>Up Date</w:t>
      </w:r>
    </w:p>
    <w:p w:rsidR="00256C68" w:rsidRPr="006357DC" w:rsidRDefault="001D5B79" w:rsidP="006357DC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b/>
          <w:szCs w:val="24"/>
        </w:rPr>
      </w:pPr>
      <w:r>
        <w:tab/>
      </w:r>
      <w:r>
        <w:tab/>
      </w:r>
      <w:r w:rsidRPr="007F70FA">
        <w:rPr>
          <w:b/>
        </w:rPr>
        <w:t>c.</w:t>
      </w:r>
      <w:r w:rsidRPr="007F70FA">
        <w:rPr>
          <w:b/>
        </w:rPr>
        <w:tab/>
      </w:r>
      <w:r w:rsidR="00596C46" w:rsidRPr="007F70FA">
        <w:rPr>
          <w:b/>
        </w:rPr>
        <w:t xml:space="preserve">Budget:  </w:t>
      </w:r>
      <w:r w:rsidR="00AA4258" w:rsidRPr="007F70FA">
        <w:rPr>
          <w:b/>
        </w:rPr>
        <w:t>Rodney Holcomb</w:t>
      </w:r>
      <w:r w:rsidR="00596C46" w:rsidRPr="007F70FA">
        <w:rPr>
          <w:rFonts w:cs="Times New Roman"/>
          <w:b/>
          <w:szCs w:val="24"/>
        </w:rPr>
        <w:t xml:space="preserve"> – </w:t>
      </w:r>
      <w:r w:rsidR="006357DC">
        <w:rPr>
          <w:rFonts w:cs="Times New Roman"/>
          <w:b/>
          <w:szCs w:val="24"/>
        </w:rPr>
        <w:t>No</w:t>
      </w:r>
      <w:r w:rsidR="00256C68" w:rsidRPr="007F70FA">
        <w:rPr>
          <w:rFonts w:cs="Times New Roman"/>
          <w:b/>
          <w:szCs w:val="24"/>
        </w:rPr>
        <w:t xml:space="preserve"> Report</w:t>
      </w:r>
      <w:r w:rsidR="00D305F2">
        <w:rPr>
          <w:szCs w:val="24"/>
        </w:rPr>
        <w:tab/>
      </w:r>
      <w:r w:rsidR="00D305F2">
        <w:rPr>
          <w:szCs w:val="24"/>
        </w:rPr>
        <w:tab/>
      </w:r>
      <w:r w:rsidR="00D305F2">
        <w:rPr>
          <w:szCs w:val="24"/>
        </w:rPr>
        <w:tab/>
      </w:r>
    </w:p>
    <w:p w:rsidR="002C2882" w:rsidRPr="00652388" w:rsidRDefault="001D5B79" w:rsidP="006357DC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357DC">
        <w:rPr>
          <w:rFonts w:cs="Times New Roman"/>
          <w:b/>
          <w:szCs w:val="24"/>
        </w:rPr>
        <w:t>d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596C46" w:rsidRPr="00951B5D">
        <w:rPr>
          <w:b/>
        </w:rPr>
        <w:t xml:space="preserve">Campus Facilities, Safety, and Security:  </w:t>
      </w:r>
      <w:r w:rsidR="006357DC">
        <w:rPr>
          <w:b/>
        </w:rPr>
        <w:t>Nathan Walker</w:t>
      </w:r>
      <w:r w:rsidR="00596C46" w:rsidRPr="00951B5D">
        <w:rPr>
          <w:b/>
        </w:rPr>
        <w:t xml:space="preserve"> – </w:t>
      </w:r>
      <w:r w:rsidR="006357DC">
        <w:rPr>
          <w:b/>
        </w:rPr>
        <w:t>No Report</w:t>
      </w:r>
      <w:r w:rsidR="00D77BC6">
        <w:tab/>
      </w:r>
    </w:p>
    <w:p w:rsidR="006357DC" w:rsidRPr="006357DC" w:rsidRDefault="00B137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357DC" w:rsidRPr="006357DC">
        <w:rPr>
          <w:rFonts w:cs="Times New Roman"/>
          <w:b/>
          <w:szCs w:val="24"/>
        </w:rPr>
        <w:t>e.</w:t>
      </w:r>
      <w:r w:rsidR="006357DC">
        <w:rPr>
          <w:rFonts w:cs="Times New Roman"/>
          <w:b/>
          <w:szCs w:val="24"/>
        </w:rPr>
        <w:t xml:space="preserve"> </w:t>
      </w:r>
      <w:r w:rsidR="006357DC">
        <w:rPr>
          <w:rFonts w:cs="Times New Roman"/>
          <w:b/>
          <w:szCs w:val="24"/>
        </w:rPr>
        <w:tab/>
        <w:t xml:space="preserve">Diversity – Georgette Yetter – </w:t>
      </w:r>
      <w:r w:rsidR="00D73364">
        <w:rPr>
          <w:rFonts w:cs="Times New Roman"/>
          <w:b/>
          <w:szCs w:val="24"/>
        </w:rPr>
        <w:t>Up Date</w:t>
      </w:r>
    </w:p>
    <w:p w:rsidR="00951B5D" w:rsidRPr="006879AC" w:rsidRDefault="006357DC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b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Cs w:val="24"/>
        </w:rPr>
        <w:t>f</w:t>
      </w:r>
      <w:r w:rsidR="001D5B79" w:rsidRPr="007F70FA">
        <w:rPr>
          <w:rFonts w:cs="Times New Roman"/>
          <w:b/>
          <w:szCs w:val="24"/>
        </w:rPr>
        <w:t>.</w:t>
      </w:r>
      <w:r w:rsidR="001D5B79" w:rsidRPr="007F70FA">
        <w:rPr>
          <w:rFonts w:cs="Times New Roman"/>
          <w:b/>
          <w:szCs w:val="24"/>
        </w:rPr>
        <w:tab/>
      </w:r>
      <w:r w:rsidR="00596C46" w:rsidRPr="007F70FA">
        <w:rPr>
          <w:b/>
        </w:rPr>
        <w:t xml:space="preserve">Faculty:  </w:t>
      </w:r>
      <w:r w:rsidR="00652388" w:rsidRPr="007F70FA">
        <w:rPr>
          <w:b/>
        </w:rPr>
        <w:t>Matt Lovern</w:t>
      </w:r>
      <w:r w:rsidR="00596C46" w:rsidRPr="007F70FA">
        <w:rPr>
          <w:b/>
        </w:rPr>
        <w:t xml:space="preserve"> – </w:t>
      </w:r>
      <w:r w:rsidR="00D73364">
        <w:rPr>
          <w:b/>
        </w:rPr>
        <w:t>Up Date</w:t>
      </w:r>
    </w:p>
    <w:p w:rsidR="001D5B79" w:rsidRPr="006357DC" w:rsidRDefault="00C90133" w:rsidP="006357DC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</w:r>
      <w:r w:rsidR="006357DC">
        <w:rPr>
          <w:b/>
        </w:rPr>
        <w:t>g</w:t>
      </w:r>
      <w:r w:rsidR="001D5B79" w:rsidRPr="007F70FA">
        <w:rPr>
          <w:b/>
        </w:rPr>
        <w:t>.</w:t>
      </w:r>
      <w:r w:rsidR="001D5B79" w:rsidRPr="007F70FA">
        <w:rPr>
          <w:b/>
        </w:rPr>
        <w:tab/>
      </w:r>
      <w:r w:rsidR="00596C46" w:rsidRPr="007F70FA">
        <w:rPr>
          <w:b/>
        </w:rPr>
        <w:t xml:space="preserve">Long-Range Planning and Information Technology:  </w:t>
      </w:r>
      <w:r w:rsidR="006357DC">
        <w:rPr>
          <w:b/>
        </w:rPr>
        <w:t xml:space="preserve">Victor Baeza – </w:t>
      </w:r>
      <w:r w:rsidR="006560F4">
        <w:rPr>
          <w:b/>
        </w:rPr>
        <w:t>Up Date</w:t>
      </w:r>
      <w:r w:rsidR="007F70FA">
        <w:rPr>
          <w:b/>
        </w:rPr>
        <w:t xml:space="preserve"> </w:t>
      </w:r>
      <w:r w:rsidR="007F70FA">
        <w:rPr>
          <w:b/>
        </w:rPr>
        <w:tab/>
      </w:r>
    </w:p>
    <w:p w:rsidR="00472A1F" w:rsidRPr="006357DC" w:rsidRDefault="001D5B79" w:rsidP="006357DC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b/>
        </w:rPr>
      </w:pPr>
      <w:r>
        <w:tab/>
      </w:r>
      <w:r>
        <w:tab/>
      </w:r>
      <w:r w:rsidR="006357DC">
        <w:rPr>
          <w:b/>
        </w:rPr>
        <w:t>h</w:t>
      </w:r>
      <w:r w:rsidRPr="007F70FA">
        <w:rPr>
          <w:b/>
        </w:rPr>
        <w:t>.</w:t>
      </w:r>
      <w:r w:rsidRPr="007F70FA">
        <w:rPr>
          <w:b/>
        </w:rPr>
        <w:tab/>
      </w:r>
      <w:r w:rsidR="00596C46" w:rsidRPr="007F70FA">
        <w:rPr>
          <w:b/>
        </w:rPr>
        <w:t>R</w:t>
      </w:r>
      <w:r w:rsidR="00474337" w:rsidRPr="007F70FA">
        <w:rPr>
          <w:b/>
        </w:rPr>
        <w:t xml:space="preserve">esearch: </w:t>
      </w:r>
      <w:r w:rsidR="006357DC">
        <w:rPr>
          <w:b/>
        </w:rPr>
        <w:t>Gilbert John</w:t>
      </w:r>
      <w:r w:rsidR="00474337" w:rsidRPr="007F70FA">
        <w:rPr>
          <w:b/>
        </w:rPr>
        <w:t xml:space="preserve"> –</w:t>
      </w:r>
      <w:r w:rsidR="009707BD" w:rsidRPr="007F70FA">
        <w:rPr>
          <w:b/>
        </w:rPr>
        <w:t xml:space="preserve"> </w:t>
      </w:r>
      <w:r w:rsidR="006357DC">
        <w:rPr>
          <w:b/>
        </w:rPr>
        <w:t>No</w:t>
      </w:r>
      <w:r w:rsidR="006A5867" w:rsidRPr="007F70FA">
        <w:rPr>
          <w:b/>
        </w:rPr>
        <w:t xml:space="preserve"> Report</w:t>
      </w:r>
    </w:p>
    <w:p w:rsidR="009B6B77" w:rsidRPr="006357DC" w:rsidRDefault="007B518E" w:rsidP="006357DC">
      <w:pPr>
        <w:tabs>
          <w:tab w:val="left" w:pos="360"/>
          <w:tab w:val="left" w:pos="965"/>
          <w:tab w:val="left" w:pos="1325"/>
        </w:tabs>
        <w:spacing w:before="120"/>
        <w:rPr>
          <w:b/>
        </w:rPr>
      </w:pPr>
      <w:r>
        <w:tab/>
      </w:r>
      <w:r>
        <w:tab/>
      </w:r>
      <w:proofErr w:type="spellStart"/>
      <w:proofErr w:type="gramStart"/>
      <w:r w:rsidR="006357DC">
        <w:rPr>
          <w:b/>
        </w:rPr>
        <w:t>i</w:t>
      </w:r>
      <w:proofErr w:type="spellEnd"/>
      <w:proofErr w:type="gramEnd"/>
      <w:r w:rsidR="001D5B79" w:rsidRPr="007F70FA">
        <w:rPr>
          <w:b/>
        </w:rPr>
        <w:t>.</w:t>
      </w:r>
      <w:r w:rsidR="001D5B79">
        <w:tab/>
      </w:r>
      <w:r w:rsidR="00681AEF" w:rsidRPr="007F70FA">
        <w:rPr>
          <w:b/>
        </w:rPr>
        <w:t>Re</w:t>
      </w:r>
      <w:r w:rsidR="001E3623" w:rsidRPr="007F70FA">
        <w:rPr>
          <w:b/>
        </w:rPr>
        <w:t>tir</w:t>
      </w:r>
      <w:r w:rsidR="00C41C2B" w:rsidRPr="007F70FA">
        <w:rPr>
          <w:b/>
        </w:rPr>
        <w:t xml:space="preserve">ement &amp; Fringe Benefits: </w:t>
      </w:r>
      <w:r w:rsidR="002C2882" w:rsidRPr="007F70FA">
        <w:rPr>
          <w:b/>
        </w:rPr>
        <w:t>Stephen Clarke</w:t>
      </w:r>
      <w:r w:rsidR="001E3623" w:rsidRPr="007F70FA">
        <w:rPr>
          <w:b/>
        </w:rPr>
        <w:t xml:space="preserve"> </w:t>
      </w:r>
      <w:r w:rsidR="006A5867" w:rsidRPr="007F70FA">
        <w:rPr>
          <w:b/>
        </w:rPr>
        <w:t xml:space="preserve">– </w:t>
      </w:r>
      <w:r w:rsidR="00D73364">
        <w:rPr>
          <w:b/>
        </w:rPr>
        <w:t>Up Date</w:t>
      </w:r>
    </w:p>
    <w:p w:rsidR="006357DC" w:rsidRDefault="006357DC" w:rsidP="006357DC">
      <w:pPr>
        <w:tabs>
          <w:tab w:val="left" w:pos="360"/>
          <w:tab w:val="left" w:pos="960"/>
          <w:tab w:val="left" w:pos="1320"/>
        </w:tabs>
        <w:spacing w:before="120"/>
        <w:ind w:left="960"/>
        <w:rPr>
          <w:b/>
        </w:rPr>
      </w:pPr>
      <w:r>
        <w:rPr>
          <w:b/>
        </w:rPr>
        <w:t>j.</w:t>
      </w:r>
      <w:r>
        <w:rPr>
          <w:b/>
        </w:rPr>
        <w:tab/>
      </w:r>
      <w:r w:rsidR="00681AEF" w:rsidRPr="007F70FA">
        <w:rPr>
          <w:b/>
        </w:rPr>
        <w:t xml:space="preserve">Rules </w:t>
      </w:r>
      <w:r w:rsidR="008C0290" w:rsidRPr="007F70FA">
        <w:rPr>
          <w:b/>
        </w:rPr>
        <w:t xml:space="preserve">and Procedures:  </w:t>
      </w:r>
      <w:r>
        <w:rPr>
          <w:b/>
        </w:rPr>
        <w:t>Chanjin Chung</w:t>
      </w:r>
      <w:r w:rsidR="00681AEF" w:rsidRPr="007F70FA">
        <w:rPr>
          <w:b/>
        </w:rPr>
        <w:t xml:space="preserve"> </w:t>
      </w:r>
      <w:r w:rsidR="00363CBD" w:rsidRPr="007F70FA">
        <w:rPr>
          <w:b/>
        </w:rPr>
        <w:t>–</w:t>
      </w:r>
      <w:r w:rsidR="00681AEF" w:rsidRPr="007F70FA">
        <w:rPr>
          <w:b/>
        </w:rPr>
        <w:t xml:space="preserve"> </w:t>
      </w:r>
      <w:r w:rsidR="006560F4">
        <w:rPr>
          <w:b/>
        </w:rPr>
        <w:t>Up Date</w:t>
      </w:r>
    </w:p>
    <w:p w:rsidR="006A5867" w:rsidRPr="006357DC" w:rsidRDefault="006357DC" w:rsidP="006357DC">
      <w:pPr>
        <w:tabs>
          <w:tab w:val="left" w:pos="360"/>
          <w:tab w:val="left" w:pos="960"/>
          <w:tab w:val="left" w:pos="1320"/>
        </w:tabs>
        <w:spacing w:before="120"/>
        <w:ind w:left="960"/>
        <w:rPr>
          <w:b/>
        </w:rPr>
      </w:pPr>
      <w:r w:rsidRPr="006357DC">
        <w:rPr>
          <w:b/>
        </w:rPr>
        <w:t>k</w:t>
      </w:r>
      <w:r w:rsidR="001D5B79">
        <w:t>.</w:t>
      </w:r>
      <w:r w:rsidR="001D5B79">
        <w:tab/>
      </w:r>
      <w:r w:rsidR="001D5B79" w:rsidRPr="007F70FA">
        <w:rPr>
          <w:b/>
        </w:rPr>
        <w:t xml:space="preserve">Student Affairs and Learning Resources:  </w:t>
      </w:r>
      <w:r>
        <w:rPr>
          <w:b/>
        </w:rPr>
        <w:t>Barney Luttbeg</w:t>
      </w:r>
      <w:r w:rsidR="001D5B79" w:rsidRPr="007F70FA">
        <w:rPr>
          <w:b/>
        </w:rPr>
        <w:t xml:space="preserve"> – </w:t>
      </w:r>
      <w:r w:rsidR="006560F4">
        <w:rPr>
          <w:b/>
        </w:rPr>
        <w:t>Up Date</w:t>
      </w:r>
    </w:p>
    <w:p w:rsidR="006357DC" w:rsidRDefault="00103801" w:rsidP="006357DC">
      <w:pPr>
        <w:tabs>
          <w:tab w:val="left" w:pos="360"/>
          <w:tab w:val="left" w:pos="965"/>
          <w:tab w:val="left" w:pos="1325"/>
        </w:tabs>
        <w:spacing w:before="120" w:line="120" w:lineRule="auto"/>
      </w:pPr>
      <w:r>
        <w:tab/>
        <w:t xml:space="preserve"> </w:t>
      </w:r>
    </w:p>
    <w:p w:rsidR="00D81883" w:rsidRDefault="00C359E5" w:rsidP="001D5B79">
      <w:pPr>
        <w:tabs>
          <w:tab w:val="left" w:pos="360"/>
          <w:tab w:val="left" w:pos="965"/>
          <w:tab w:val="left" w:pos="1325"/>
        </w:tabs>
        <w:spacing w:before="120"/>
      </w:pPr>
      <w:r>
        <w:t>8</w:t>
      </w:r>
      <w:r w:rsidR="001D5B79">
        <w:t>.</w:t>
      </w:r>
      <w:r w:rsidR="001D5B79">
        <w:tab/>
        <w:t xml:space="preserve">Reports of Liaison Representatives </w:t>
      </w:r>
      <w:r w:rsidR="00715465">
        <w:t xml:space="preserve">– </w:t>
      </w:r>
    </w:p>
    <w:p w:rsidR="001D5B79" w:rsidRDefault="001038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</w:p>
    <w:p w:rsidR="001D5B79" w:rsidRDefault="00C359E5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</w:t>
      </w:r>
      <w:r w:rsidR="001D5B79">
        <w:t>.</w:t>
      </w:r>
      <w:r w:rsidR="001D5B79">
        <w:tab/>
        <w:t>New Business</w:t>
      </w:r>
    </w:p>
    <w:p w:rsidR="001D5B79" w:rsidRDefault="00C359E5" w:rsidP="006560F4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</w:t>
      </w:r>
      <w:r w:rsidR="001D5B79">
        <w:t>.</w:t>
      </w:r>
      <w:r w:rsidR="001D5B79">
        <w:tab/>
        <w:t>Adjournment</w:t>
      </w:r>
      <w:bookmarkStart w:id="0" w:name="_GoBack"/>
      <w:bookmarkEnd w:id="0"/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r>
        <w:rPr>
          <w:i/>
        </w:rPr>
        <w:t>Refreshments will be served at 2:45 p.m.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311A98" w:rsidRDefault="006A5867" w:rsidP="00943B79">
      <w:pPr>
        <w:rPr>
          <w:i/>
          <w:sz w:val="22"/>
        </w:rPr>
      </w:pPr>
      <w:r>
        <w:rPr>
          <w:i/>
          <w:sz w:val="22"/>
        </w:rPr>
        <w:t>*</w:t>
      </w:r>
      <w:r w:rsidRPr="006A5867">
        <w:rPr>
          <w:i/>
          <w:sz w:val="22"/>
        </w:rPr>
        <w:t>Attached</w:t>
      </w:r>
    </w:p>
    <w:p w:rsidR="006A5867" w:rsidRDefault="006A5867" w:rsidP="00943B79">
      <w:pPr>
        <w:rPr>
          <w:sz w:val="22"/>
        </w:rPr>
      </w:pPr>
    </w:p>
    <w:p w:rsidR="00951B5D" w:rsidRDefault="00951B5D">
      <w:pPr>
        <w:rPr>
          <w:sz w:val="22"/>
        </w:rPr>
      </w:pPr>
    </w:p>
    <w:p w:rsidR="00667945" w:rsidRPr="007E7A1F" w:rsidRDefault="00667945" w:rsidP="00667945">
      <w:pPr>
        <w:jc w:val="center"/>
        <w:rPr>
          <w:rFonts w:ascii="Tahoma" w:hAnsi="Tahoma" w:cs="Tahoma"/>
          <w:b/>
        </w:rPr>
      </w:pPr>
      <w:r w:rsidRPr="007E7A1F">
        <w:rPr>
          <w:rFonts w:ascii="Tahoma" w:hAnsi="Tahoma" w:cs="Tahoma"/>
          <w:b/>
        </w:rPr>
        <w:t>Oklahoma State University Strategic Plan</w:t>
      </w:r>
    </w:p>
    <w:p w:rsidR="00667945" w:rsidRPr="003F1845" w:rsidRDefault="00667945" w:rsidP="00667945">
      <w:pPr>
        <w:jc w:val="center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Proposed by the HLC Strategic Plan Working Group</w:t>
      </w:r>
    </w:p>
    <w:p w:rsidR="00667945" w:rsidRPr="003F1845" w:rsidRDefault="00667945" w:rsidP="00667945">
      <w:pPr>
        <w:jc w:val="center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July 2013</w:t>
      </w:r>
    </w:p>
    <w:p w:rsidR="00667945" w:rsidRDefault="00667945" w:rsidP="00667945">
      <w:pPr>
        <w:jc w:val="center"/>
        <w:rPr>
          <w:rFonts w:ascii="Tahoma" w:hAnsi="Tahoma" w:cs="Tahoma"/>
          <w:b/>
          <w:sz w:val="20"/>
          <w:szCs w:val="20"/>
        </w:rPr>
      </w:pPr>
    </w:p>
    <w:p w:rsidR="00667945" w:rsidRDefault="00667945" w:rsidP="00667945">
      <w:pPr>
        <w:jc w:val="center"/>
        <w:rPr>
          <w:rFonts w:ascii="Tahoma" w:hAnsi="Tahoma" w:cs="Tahoma"/>
          <w:b/>
          <w:sz w:val="20"/>
          <w:szCs w:val="20"/>
        </w:rPr>
      </w:pPr>
    </w:p>
    <w:p w:rsidR="00667945" w:rsidRPr="007E7A1F" w:rsidRDefault="00667945" w:rsidP="00667945">
      <w:pPr>
        <w:jc w:val="center"/>
        <w:rPr>
          <w:rFonts w:ascii="Tahoma" w:hAnsi="Tahoma" w:cs="Tahoma"/>
          <w:b/>
        </w:rPr>
      </w:pPr>
      <w:r w:rsidRPr="007E7A1F">
        <w:rPr>
          <w:rFonts w:ascii="Tahoma" w:hAnsi="Tahoma" w:cs="Tahoma"/>
          <w:b/>
        </w:rPr>
        <w:t>Mission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 xml:space="preserve">Building on its land-grant heritage, Oklahoma State University promotes learning, advances knowledge, enriches lives, and stimulates economic development through teaching, research, extension, outreach, and creative activities.  </w:t>
      </w:r>
    </w:p>
    <w:p w:rsidR="006679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7E7A1F" w:rsidRDefault="00667945" w:rsidP="00667945">
      <w:pPr>
        <w:jc w:val="center"/>
        <w:rPr>
          <w:rFonts w:ascii="Tahoma" w:hAnsi="Tahoma" w:cs="Tahoma"/>
          <w:b/>
        </w:rPr>
      </w:pPr>
      <w:r w:rsidRPr="007E7A1F">
        <w:rPr>
          <w:rFonts w:ascii="Tahoma" w:hAnsi="Tahoma" w:cs="Tahoma"/>
          <w:b/>
        </w:rPr>
        <w:t>Vision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 xml:space="preserve">Oklahoma State University will lead in the creation of a better Oklahoma, nation, and world by advancing the quality of life for all, and will fulfill the obligations of a first-class, land-grant educational institution.  </w:t>
      </w:r>
    </w:p>
    <w:p w:rsidR="006679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7E7A1F" w:rsidRDefault="00667945" w:rsidP="00667945">
      <w:pPr>
        <w:jc w:val="center"/>
        <w:rPr>
          <w:rFonts w:ascii="Tahoma" w:hAnsi="Tahoma" w:cs="Tahoma"/>
          <w:b/>
        </w:rPr>
      </w:pPr>
      <w:r w:rsidRPr="007E7A1F">
        <w:rPr>
          <w:rFonts w:ascii="Tahoma" w:hAnsi="Tahoma" w:cs="Tahoma"/>
          <w:b/>
        </w:rPr>
        <w:t>Core Values</w:t>
      </w:r>
    </w:p>
    <w:p w:rsidR="00667945" w:rsidRPr="007E7A1F" w:rsidRDefault="00667945" w:rsidP="00667945">
      <w:pPr>
        <w:rPr>
          <w:rFonts w:ascii="Tahoma" w:hAnsi="Tahoma" w:cs="Tahoma"/>
          <w:b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 xml:space="preserve">Community - </w:t>
      </w:r>
      <w:r w:rsidRPr="003F1845">
        <w:rPr>
          <w:rFonts w:ascii="Tahoma" w:hAnsi="Tahoma" w:cs="Tahoma"/>
          <w:sz w:val="20"/>
          <w:szCs w:val="20"/>
        </w:rPr>
        <w:t>We</w:t>
      </w:r>
      <w:r w:rsidRPr="003F1845">
        <w:rPr>
          <w:rFonts w:ascii="Tahoma" w:hAnsi="Tahoma" w:cs="Tahoma"/>
          <w:b/>
          <w:sz w:val="20"/>
          <w:szCs w:val="20"/>
        </w:rPr>
        <w:t xml:space="preserve"> </w:t>
      </w:r>
      <w:r w:rsidRPr="003F1845">
        <w:rPr>
          <w:rFonts w:ascii="Tahoma" w:hAnsi="Tahoma" w:cs="Tahoma"/>
          <w:sz w:val="20"/>
          <w:szCs w:val="20"/>
        </w:rPr>
        <w:t xml:space="preserve">foster a strong sense of community based on shared governance among students, faculty, staff, and administrators, which allows us to expand our intellectual and interpersonal horizons in a safe, friendly, and supportive learning environment. 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Excellence</w:t>
      </w:r>
      <w:r w:rsidRPr="003F1845">
        <w:rPr>
          <w:rFonts w:ascii="Tahoma" w:hAnsi="Tahoma" w:cs="Tahoma"/>
          <w:sz w:val="20"/>
          <w:szCs w:val="20"/>
        </w:rPr>
        <w:t xml:space="preserve"> – We seek excellence in all our endeavors; we are committed to continuous improvement. 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Diversity</w:t>
      </w:r>
      <w:r w:rsidRPr="003F1845">
        <w:rPr>
          <w:rFonts w:ascii="Tahoma" w:hAnsi="Tahoma" w:cs="Tahoma"/>
          <w:sz w:val="20"/>
          <w:szCs w:val="20"/>
        </w:rPr>
        <w:t xml:space="preserve"> – We respect and value the diversity of individuals, beliefs, and opinions. 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Integrity</w:t>
      </w:r>
      <w:r w:rsidRPr="003F1845">
        <w:rPr>
          <w:rFonts w:ascii="Tahoma" w:hAnsi="Tahoma" w:cs="Tahoma"/>
          <w:sz w:val="20"/>
          <w:szCs w:val="20"/>
        </w:rPr>
        <w:t xml:space="preserve"> – We are committed to the principles of truth and honesty; we will be equitable, ethical, and professional. 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Service</w:t>
      </w:r>
      <w:r w:rsidRPr="003F1845">
        <w:rPr>
          <w:rFonts w:ascii="Tahoma" w:hAnsi="Tahoma" w:cs="Tahoma"/>
          <w:sz w:val="20"/>
          <w:szCs w:val="20"/>
        </w:rPr>
        <w:t xml:space="preserve"> – We believe that serving others is a noble and worthy endeavor and is one of the distinguishing features of a land-grant institution. 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Intellectual Freedom</w:t>
      </w:r>
      <w:r w:rsidRPr="003F1845">
        <w:rPr>
          <w:rFonts w:ascii="Tahoma" w:hAnsi="Tahoma" w:cs="Tahoma"/>
          <w:sz w:val="20"/>
          <w:szCs w:val="20"/>
        </w:rPr>
        <w:t xml:space="preserve"> – We believe in ethical and scholarly questioning in an environment that respects the rights of all </w:t>
      </w:r>
      <w:proofErr w:type="gramStart"/>
      <w:r w:rsidRPr="003F1845">
        <w:rPr>
          <w:rFonts w:ascii="Tahoma" w:hAnsi="Tahoma" w:cs="Tahoma"/>
          <w:sz w:val="20"/>
          <w:szCs w:val="20"/>
        </w:rPr>
        <w:t>to</w:t>
      </w:r>
      <w:proofErr w:type="gramEnd"/>
      <w:r w:rsidRPr="003F1845">
        <w:rPr>
          <w:rFonts w:ascii="Tahoma" w:hAnsi="Tahoma" w:cs="Tahoma"/>
          <w:sz w:val="20"/>
          <w:szCs w:val="20"/>
        </w:rPr>
        <w:t xml:space="preserve"> freely pursue knowledge. </w:t>
      </w:r>
    </w:p>
    <w:p w:rsidR="00667945" w:rsidRPr="003F1845" w:rsidRDefault="00667945" w:rsidP="00667945">
      <w:pPr>
        <w:rPr>
          <w:rFonts w:ascii="Tahoma" w:hAnsi="Tahoma" w:cs="Tahoma"/>
          <w:b/>
          <w:sz w:val="20"/>
          <w:szCs w:val="20"/>
        </w:rPr>
      </w:pP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Stewardship of Resources</w:t>
      </w:r>
      <w:r w:rsidRPr="003F1845">
        <w:rPr>
          <w:rFonts w:ascii="Tahoma" w:hAnsi="Tahoma" w:cs="Tahoma"/>
          <w:sz w:val="20"/>
          <w:szCs w:val="20"/>
        </w:rPr>
        <w:t xml:space="preserve"> – We are dedicated to the efficient and effective use of resources and sustainability practices to conserve those resources.  We accept responsibility of the public’s trust and are accountable for our actions.  </w:t>
      </w:r>
    </w:p>
    <w:p w:rsidR="00667945" w:rsidRPr="007E7A1F" w:rsidRDefault="00667945" w:rsidP="00667945">
      <w:pPr>
        <w:ind w:left="3600" w:firstLine="720"/>
        <w:rPr>
          <w:rFonts w:ascii="Tahoma" w:hAnsi="Tahoma" w:cs="Tahoma"/>
          <w:b/>
        </w:rPr>
      </w:pPr>
      <w:r w:rsidRPr="003F1845">
        <w:rPr>
          <w:rFonts w:ascii="Tahoma" w:hAnsi="Tahoma" w:cs="Tahoma"/>
          <w:sz w:val="20"/>
          <w:szCs w:val="20"/>
        </w:rPr>
        <w:br w:type="page"/>
      </w:r>
      <w:r w:rsidRPr="007E7A1F">
        <w:rPr>
          <w:rFonts w:ascii="Tahoma" w:hAnsi="Tahoma" w:cs="Tahoma"/>
          <w:b/>
        </w:rPr>
        <w:lastRenderedPageBreak/>
        <w:t>Core Goals</w:t>
      </w:r>
    </w:p>
    <w:p w:rsidR="00667945" w:rsidRPr="007E7A1F" w:rsidRDefault="00667945" w:rsidP="00667945">
      <w:pPr>
        <w:jc w:val="center"/>
        <w:rPr>
          <w:rFonts w:ascii="Tahoma" w:hAnsi="Tahoma" w:cs="Tahoma"/>
          <w:b/>
          <w:sz w:val="20"/>
          <w:szCs w:val="20"/>
        </w:rPr>
      </w:pPr>
    </w:p>
    <w:p w:rsidR="00667945" w:rsidRPr="003F1845" w:rsidRDefault="00667945" w:rsidP="00667945">
      <w:pPr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7E7A1F">
        <w:rPr>
          <w:rFonts w:ascii="Tahoma" w:hAnsi="Tahoma" w:cs="Tahoma"/>
          <w:b/>
          <w:sz w:val="20"/>
          <w:szCs w:val="20"/>
        </w:rPr>
        <w:t>Academic Excellence</w:t>
      </w:r>
      <w:r w:rsidRPr="007E7A1F">
        <w:rPr>
          <w:rFonts w:ascii="Tahoma" w:hAnsi="Tahoma" w:cs="Tahoma"/>
          <w:b/>
          <w:sz w:val="20"/>
          <w:szCs w:val="20"/>
          <w:lang w:eastAsia="ja-JP"/>
        </w:rPr>
        <w:t xml:space="preserve"> – </w:t>
      </w:r>
      <w:r w:rsidRPr="007E7A1F">
        <w:rPr>
          <w:rFonts w:ascii="Tahoma" w:hAnsi="Tahoma" w:cs="Tahoma"/>
          <w:sz w:val="20"/>
          <w:szCs w:val="20"/>
          <w:lang w:eastAsia="ja-JP"/>
        </w:rPr>
        <w:t>Achieve academic excellence</w:t>
      </w:r>
      <w:r w:rsidRPr="003F1845">
        <w:rPr>
          <w:rFonts w:ascii="Tahoma" w:hAnsi="Tahoma" w:cs="Tahoma"/>
          <w:sz w:val="20"/>
          <w:szCs w:val="20"/>
          <w:lang w:eastAsia="ja-JP"/>
        </w:rPr>
        <w:t xml:space="preserve"> at</w:t>
      </w:r>
      <w:r w:rsidRPr="003F1845">
        <w:rPr>
          <w:rFonts w:ascii="Tahoma" w:hAnsi="Tahoma" w:cs="Tahoma"/>
          <w:sz w:val="20"/>
          <w:szCs w:val="20"/>
        </w:rPr>
        <w:t xml:space="preserve"> the highest levels of teaching, research, scholarship, and creative activities through the creation, acquisition, and application of knowledge.</w:t>
      </w:r>
      <w:r w:rsidRPr="003F1845">
        <w:rPr>
          <w:rFonts w:ascii="Tahoma" w:hAnsi="Tahoma" w:cs="Tahoma"/>
          <w:b/>
          <w:sz w:val="20"/>
          <w:szCs w:val="20"/>
        </w:rPr>
        <w:t xml:space="preserve"> </w:t>
      </w:r>
    </w:p>
    <w:p w:rsidR="00667945" w:rsidRPr="003F1845" w:rsidRDefault="00667945" w:rsidP="00667945">
      <w:pPr>
        <w:ind w:left="1440"/>
        <w:rPr>
          <w:rFonts w:ascii="Tahoma" w:hAnsi="Tahoma" w:cs="Tahoma"/>
          <w:b/>
          <w:sz w:val="16"/>
          <w:szCs w:val="16"/>
        </w:rPr>
      </w:pPr>
    </w:p>
    <w:p w:rsidR="00667945" w:rsidRPr="003F1845" w:rsidRDefault="00667945" w:rsidP="00667945">
      <w:pPr>
        <w:ind w:left="180" w:firstLine="720"/>
        <w:rPr>
          <w:rFonts w:ascii="Tahoma" w:hAnsi="Tahoma" w:cs="Tahoma"/>
          <w:b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Strategic and tactical goals in support of academic excellence: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  <w:lang w:eastAsia="ja-JP"/>
        </w:rPr>
      </w:pPr>
    </w:p>
    <w:p w:rsidR="00667945" w:rsidRPr="003F1845" w:rsidRDefault="00667945" w:rsidP="00667945">
      <w:pPr>
        <w:numPr>
          <w:ilvl w:val="0"/>
          <w:numId w:val="9"/>
        </w:numPr>
        <w:contextualSpacing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 xml:space="preserve">Provide support for effective approaches in the teaching of undergraduate, graduate, and professional students 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9"/>
        </w:numPr>
        <w:rPr>
          <w:rFonts w:ascii="Tahoma" w:hAnsi="Tahoma" w:cs="Tahoma"/>
          <w:sz w:val="20"/>
          <w:szCs w:val="20"/>
          <w:lang w:eastAsia="ja-JP"/>
        </w:rPr>
      </w:pPr>
      <w:r w:rsidRPr="003F1845">
        <w:rPr>
          <w:rFonts w:ascii="Tahoma" w:hAnsi="Tahoma" w:cs="Tahoma"/>
          <w:sz w:val="20"/>
          <w:szCs w:val="20"/>
          <w:lang w:eastAsia="ja-JP"/>
        </w:rPr>
        <w:t>Provide support for research, scholarship, and creative activities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  <w:lang w:eastAsia="ja-JP"/>
        </w:rPr>
      </w:pPr>
    </w:p>
    <w:p w:rsidR="00667945" w:rsidRPr="003F1845" w:rsidRDefault="00667945" w:rsidP="00667945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Effectively assess student learning and provide resources for improving outcomes at the undergraduate, graduate, and professional levels</w:t>
      </w:r>
    </w:p>
    <w:p w:rsidR="00667945" w:rsidRPr="003F1845" w:rsidRDefault="00667945" w:rsidP="00667945">
      <w:pPr>
        <w:ind w:left="1440"/>
        <w:rPr>
          <w:rFonts w:ascii="Tahoma" w:eastAsia="Calibri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9"/>
        </w:numPr>
        <w:rPr>
          <w:rFonts w:ascii="Tahoma" w:eastAsia="Calibri" w:hAnsi="Tahoma" w:cs="Tahoma"/>
          <w:sz w:val="20"/>
          <w:szCs w:val="20"/>
        </w:rPr>
      </w:pPr>
      <w:r w:rsidRPr="003F1845">
        <w:rPr>
          <w:rFonts w:ascii="Tahoma" w:eastAsia="Calibri" w:hAnsi="Tahoma" w:cs="Tahoma"/>
          <w:sz w:val="20"/>
          <w:szCs w:val="20"/>
        </w:rPr>
        <w:t xml:space="preserve">Garner external resources to support academic initiatives and priorities  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 xml:space="preserve">  Student Success – </w:t>
      </w:r>
      <w:r w:rsidRPr="003F1845">
        <w:rPr>
          <w:rFonts w:ascii="Tahoma" w:hAnsi="Tahoma" w:cs="Tahoma"/>
          <w:sz w:val="20"/>
          <w:szCs w:val="20"/>
        </w:rPr>
        <w:t>Recruit, retain, and graduate diverse students in a supportive environment that promotes scholarship, creativity, ethical leadership, meaningful service and civic engagement; encourages excellence and innovation; prepares students for purposeful careers; enriches personal growth; and fosters discovery of knowledge.</w:t>
      </w:r>
    </w:p>
    <w:p w:rsidR="00667945" w:rsidRPr="003F1845" w:rsidRDefault="00667945" w:rsidP="00667945">
      <w:pPr>
        <w:rPr>
          <w:rFonts w:ascii="Tahoma" w:hAnsi="Tahoma" w:cs="Tahoma"/>
          <w:b/>
          <w:sz w:val="16"/>
          <w:szCs w:val="16"/>
        </w:rPr>
      </w:pPr>
    </w:p>
    <w:p w:rsidR="00667945" w:rsidRPr="003F1845" w:rsidRDefault="00667945" w:rsidP="00667945">
      <w:pPr>
        <w:ind w:left="720" w:firstLine="180"/>
        <w:rPr>
          <w:rFonts w:ascii="Tahoma" w:hAnsi="Tahoma" w:cs="Tahoma"/>
          <w:b/>
          <w:sz w:val="20"/>
          <w:szCs w:val="20"/>
        </w:rPr>
      </w:pPr>
      <w:r w:rsidRPr="003F1845">
        <w:rPr>
          <w:rFonts w:ascii="Tahoma" w:hAnsi="Tahoma" w:cs="Tahoma"/>
          <w:b/>
          <w:sz w:val="20"/>
          <w:szCs w:val="20"/>
        </w:rPr>
        <w:t>Strategic and tactical goals in support of student success:</w:t>
      </w:r>
    </w:p>
    <w:p w:rsidR="00667945" w:rsidRPr="003F1845" w:rsidRDefault="00667945" w:rsidP="00667945">
      <w:pPr>
        <w:rPr>
          <w:rFonts w:ascii="Tahoma" w:hAnsi="Tahoma" w:cs="Tahoma"/>
          <w:sz w:val="20"/>
          <w:szCs w:val="20"/>
        </w:rPr>
      </w:pPr>
    </w:p>
    <w:p w:rsidR="00667945" w:rsidRPr="003F1845" w:rsidRDefault="00667945" w:rsidP="00667945">
      <w:pPr>
        <w:numPr>
          <w:ilvl w:val="0"/>
          <w:numId w:val="10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Continue programs to enhance learning, increase retention, and improve graduation rates</w:t>
      </w:r>
    </w:p>
    <w:p w:rsidR="00667945" w:rsidRPr="003F1845" w:rsidRDefault="00667945" w:rsidP="00667945">
      <w:pPr>
        <w:ind w:left="1440" w:firstLine="45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0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Identify, recruit, develop, and mentor potential scholars and emerging leaders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0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Recruit and retain diverse students, faculty, staff, and administrators</w:t>
      </w:r>
    </w:p>
    <w:p w:rsidR="00667945" w:rsidRPr="003F1845" w:rsidRDefault="00667945" w:rsidP="00667945">
      <w:pPr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0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Advocate and utilize a student development model that enhances academic success, leadership, service</w:t>
      </w:r>
      <w:r>
        <w:rPr>
          <w:rFonts w:ascii="Tahoma" w:hAnsi="Tahoma" w:cs="Tahoma"/>
          <w:sz w:val="20"/>
          <w:szCs w:val="20"/>
        </w:rPr>
        <w:t>,</w:t>
      </w:r>
      <w:r w:rsidRPr="003F1845">
        <w:rPr>
          <w:rFonts w:ascii="Tahoma" w:hAnsi="Tahoma" w:cs="Tahoma"/>
          <w:sz w:val="20"/>
          <w:szCs w:val="20"/>
        </w:rPr>
        <w:t xml:space="preserve"> and civic engagement; helps students discover their purpose and passions; broadens their horizons through art, music, cultural exploration</w:t>
      </w:r>
      <w:r>
        <w:rPr>
          <w:rFonts w:ascii="Tahoma" w:hAnsi="Tahoma" w:cs="Tahoma"/>
          <w:sz w:val="20"/>
          <w:szCs w:val="20"/>
        </w:rPr>
        <w:t>,</w:t>
      </w:r>
      <w:r w:rsidRPr="003F1845">
        <w:rPr>
          <w:rFonts w:ascii="Tahoma" w:hAnsi="Tahoma" w:cs="Tahoma"/>
          <w:sz w:val="20"/>
          <w:szCs w:val="20"/>
        </w:rPr>
        <w:t xml:space="preserve"> and international travel; and </w:t>
      </w:r>
      <w:r>
        <w:rPr>
          <w:rFonts w:ascii="Tahoma" w:hAnsi="Tahoma" w:cs="Tahoma"/>
          <w:sz w:val="20"/>
          <w:szCs w:val="20"/>
        </w:rPr>
        <w:t>strengthens</w:t>
      </w:r>
      <w:r w:rsidRPr="003F1845">
        <w:rPr>
          <w:rFonts w:ascii="Tahoma" w:hAnsi="Tahoma" w:cs="Tahoma"/>
          <w:sz w:val="20"/>
          <w:szCs w:val="20"/>
        </w:rPr>
        <w:t xml:space="preserve"> wellness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0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Create and nurture a climate of acceptance, respect, trust, and comfort that fosters the success of individuals</w:t>
      </w:r>
    </w:p>
    <w:p w:rsidR="00667945" w:rsidRPr="003F1845" w:rsidRDefault="00667945" w:rsidP="00667945">
      <w:pPr>
        <w:ind w:left="144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pStyle w:val="NormalArial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3F1845">
        <w:rPr>
          <w:rFonts w:ascii="Tahoma" w:hAnsi="Tahoma" w:cs="Tahoma"/>
        </w:rPr>
        <w:t xml:space="preserve">Community Engagement– </w:t>
      </w:r>
      <w:r w:rsidRPr="003F1845">
        <w:rPr>
          <w:rFonts w:ascii="Tahoma" w:hAnsi="Tahoma" w:cs="Tahoma"/>
          <w:b w:val="0"/>
        </w:rPr>
        <w:t>Engage external individuals and organizations through collaboration, outreach</w:t>
      </w:r>
      <w:r w:rsidRPr="003F1845">
        <w:rPr>
          <w:rFonts w:ascii="Tahoma" w:hAnsi="Tahoma" w:cs="Tahoma"/>
          <w:b w:val="0"/>
          <w:lang w:eastAsia="ja-JP"/>
        </w:rPr>
        <w:t>,</w:t>
      </w:r>
      <w:r w:rsidRPr="003F1845">
        <w:rPr>
          <w:rFonts w:ascii="Tahoma" w:hAnsi="Tahoma" w:cs="Tahoma"/>
          <w:b w:val="0"/>
        </w:rPr>
        <w:t xml:space="preserve"> and extension that enhances the quality of life in Oklahoma, the nation, and the world by contributing to the human, economic</w:t>
      </w:r>
      <w:r w:rsidRPr="003F1845">
        <w:rPr>
          <w:rFonts w:ascii="Tahoma" w:hAnsi="Tahoma" w:cs="Tahoma"/>
          <w:b w:val="0"/>
          <w:lang w:eastAsia="ja-JP"/>
        </w:rPr>
        <w:t>,</w:t>
      </w:r>
      <w:r w:rsidRPr="003F1845">
        <w:rPr>
          <w:rFonts w:ascii="Tahoma" w:hAnsi="Tahoma" w:cs="Tahoma"/>
          <w:b w:val="0"/>
        </w:rPr>
        <w:t xml:space="preserve"> and cultural development of our citizens.</w:t>
      </w:r>
    </w:p>
    <w:p w:rsidR="00667945" w:rsidRPr="003F1845" w:rsidRDefault="00667945" w:rsidP="00667945">
      <w:pPr>
        <w:pStyle w:val="NormalArial"/>
        <w:spacing w:after="0" w:line="240" w:lineRule="auto"/>
        <w:ind w:left="18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pStyle w:val="NormalArial"/>
        <w:spacing w:after="0" w:line="240" w:lineRule="auto"/>
        <w:ind w:left="180" w:firstLine="720"/>
        <w:rPr>
          <w:rFonts w:ascii="Tahoma" w:hAnsi="Tahoma" w:cs="Tahoma"/>
        </w:rPr>
      </w:pPr>
      <w:r w:rsidRPr="003F1845">
        <w:rPr>
          <w:rFonts w:ascii="Tahoma" w:hAnsi="Tahoma" w:cs="Tahoma"/>
        </w:rPr>
        <w:t>Strategic and tactical goals in support of community engagement:</w:t>
      </w:r>
    </w:p>
    <w:p w:rsidR="00667945" w:rsidRPr="003F1845" w:rsidRDefault="00667945" w:rsidP="00667945">
      <w:pPr>
        <w:pStyle w:val="NormalArial"/>
        <w:spacing w:after="0" w:line="240" w:lineRule="auto"/>
        <w:ind w:left="108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1"/>
        </w:numPr>
        <w:ind w:left="1440"/>
        <w:contextualSpacing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Continue needs assessment for the people and groups that the University serves and proceed with plans for meeting those needs</w:t>
      </w:r>
    </w:p>
    <w:p w:rsidR="00667945" w:rsidRPr="003F1845" w:rsidRDefault="00667945" w:rsidP="00667945">
      <w:pPr>
        <w:ind w:left="1710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1"/>
        </w:numPr>
        <w:ind w:left="1440"/>
        <w:contextualSpacing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Cultivate the organizational structure to provide easy mechanisms for external partners to collaborate with and gain access to the University</w:t>
      </w:r>
    </w:p>
    <w:p w:rsidR="00667945" w:rsidRPr="003F1845" w:rsidRDefault="00667945" w:rsidP="00667945">
      <w:pPr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1"/>
        </w:numPr>
        <w:ind w:left="1440"/>
        <w:contextualSpacing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Utilize the University’s resources to serve Oklahoma’s economic development goals</w:t>
      </w:r>
    </w:p>
    <w:p w:rsidR="00667945" w:rsidRPr="003F1845" w:rsidRDefault="00667945" w:rsidP="00667945">
      <w:pPr>
        <w:ind w:left="1440" w:hanging="360"/>
        <w:rPr>
          <w:rFonts w:ascii="Tahoma" w:hAnsi="Tahoma" w:cs="Tahoma"/>
          <w:sz w:val="16"/>
          <w:szCs w:val="16"/>
        </w:rPr>
      </w:pPr>
    </w:p>
    <w:p w:rsidR="00667945" w:rsidRDefault="00667945" w:rsidP="00667945">
      <w:pPr>
        <w:numPr>
          <w:ilvl w:val="0"/>
          <w:numId w:val="11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Develop, support, and promote the mutually beneficial exchange of knowledge and resources in a context of partnership and reciprocity</w:t>
      </w:r>
    </w:p>
    <w:p w:rsidR="00667945" w:rsidRPr="003F1845" w:rsidRDefault="00667945" w:rsidP="00667945">
      <w:pPr>
        <w:pStyle w:val="ListParagraph"/>
        <w:rPr>
          <w:rFonts w:ascii="Tahoma" w:hAnsi="Tahoma" w:cs="Tahoma"/>
          <w:sz w:val="16"/>
          <w:szCs w:val="16"/>
        </w:rPr>
      </w:pPr>
    </w:p>
    <w:p w:rsidR="00667945" w:rsidRPr="003F1845" w:rsidRDefault="00667945" w:rsidP="00667945">
      <w:pPr>
        <w:numPr>
          <w:ilvl w:val="0"/>
          <w:numId w:val="11"/>
        </w:numPr>
        <w:ind w:left="1440"/>
        <w:rPr>
          <w:rFonts w:ascii="Tahoma" w:hAnsi="Tahoma" w:cs="Tahoma"/>
          <w:sz w:val="20"/>
          <w:szCs w:val="20"/>
        </w:rPr>
      </w:pPr>
      <w:r w:rsidRPr="003F1845">
        <w:rPr>
          <w:rFonts w:ascii="Tahoma" w:hAnsi="Tahoma" w:cs="Tahoma"/>
          <w:sz w:val="20"/>
          <w:szCs w:val="20"/>
        </w:rPr>
        <w:t>Proudly message OSU achievements and innovations, as well as contributions made locally and globally through service and engagement</w:t>
      </w:r>
    </w:p>
    <w:p w:rsidR="006A5867" w:rsidRPr="00AC0645" w:rsidRDefault="006A5867" w:rsidP="006357DC"/>
    <w:p w:rsidR="006A5867" w:rsidRPr="006A5867" w:rsidRDefault="006A5867" w:rsidP="00943B79">
      <w:pPr>
        <w:rPr>
          <w:sz w:val="22"/>
        </w:rPr>
      </w:pPr>
    </w:p>
    <w:sectPr w:rsidR="006A5867" w:rsidRPr="006A5867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09" w:rsidRDefault="00BF3D09">
      <w:r>
        <w:separator/>
      </w:r>
    </w:p>
  </w:endnote>
  <w:endnote w:type="continuationSeparator" w:id="0">
    <w:p w:rsidR="00BF3D09" w:rsidRDefault="00BF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09" w:rsidRDefault="00BF3D09">
      <w:r>
        <w:separator/>
      </w:r>
    </w:p>
  </w:footnote>
  <w:footnote w:type="continuationSeparator" w:id="0">
    <w:p w:rsidR="00BF3D09" w:rsidRDefault="00BF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FA"/>
    <w:multiLevelType w:val="hybridMultilevel"/>
    <w:tmpl w:val="7DA6AF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82C3396">
      <w:start w:val="1"/>
      <w:numFmt w:val="lowerLetter"/>
      <w:lvlText w:val="%2."/>
      <w:lvlJc w:val="left"/>
      <w:pPr>
        <w:ind w:left="0" w:firstLine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7E08"/>
    <w:multiLevelType w:val="hybridMultilevel"/>
    <w:tmpl w:val="E04C69AA"/>
    <w:lvl w:ilvl="0" w:tplc="9050D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04A"/>
    <w:multiLevelType w:val="hybridMultilevel"/>
    <w:tmpl w:val="E00C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B6F55"/>
    <w:multiLevelType w:val="hybridMultilevel"/>
    <w:tmpl w:val="9E6E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97F5C4A"/>
    <w:multiLevelType w:val="hybridMultilevel"/>
    <w:tmpl w:val="AB80BF22"/>
    <w:lvl w:ilvl="0" w:tplc="57E0C0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D1D8E"/>
    <w:multiLevelType w:val="hybridMultilevel"/>
    <w:tmpl w:val="28B29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EB10AB"/>
    <w:multiLevelType w:val="hybridMultilevel"/>
    <w:tmpl w:val="2A42A71A"/>
    <w:lvl w:ilvl="0" w:tplc="20A22BC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AA215C"/>
    <w:multiLevelType w:val="hybridMultilevel"/>
    <w:tmpl w:val="E59A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97CE4"/>
    <w:multiLevelType w:val="hybridMultilevel"/>
    <w:tmpl w:val="185027F6"/>
    <w:lvl w:ilvl="0" w:tplc="57E0C0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F3E54"/>
    <w:multiLevelType w:val="hybridMultilevel"/>
    <w:tmpl w:val="DFF8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623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0FC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304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C68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3DEA"/>
    <w:rsid w:val="0031442B"/>
    <w:rsid w:val="00314E16"/>
    <w:rsid w:val="0031552C"/>
    <w:rsid w:val="0031559C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46"/>
    <w:rsid w:val="00420E9D"/>
    <w:rsid w:val="0042155A"/>
    <w:rsid w:val="004215B1"/>
    <w:rsid w:val="0042174C"/>
    <w:rsid w:val="00421A12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3193"/>
    <w:rsid w:val="00453771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D2B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A1F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4E4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5BE2"/>
    <w:rsid w:val="005C5F41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71A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7DC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0F4"/>
    <w:rsid w:val="006562E2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94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AC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867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BF"/>
    <w:rsid w:val="0070307D"/>
    <w:rsid w:val="00703526"/>
    <w:rsid w:val="00703581"/>
    <w:rsid w:val="00703BFD"/>
    <w:rsid w:val="0070428B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2088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18E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450"/>
    <w:rsid w:val="007F45B3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0FA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658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187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B79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1B5D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6B77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3D09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313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46C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4C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364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289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1E9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paragraph" w:customStyle="1" w:styleId="Body1">
    <w:name w:val="Body 1"/>
    <w:autoRedefine/>
    <w:rsid w:val="00256C68"/>
    <w:pPr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6A5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A5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2628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289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B6B77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NormalArial">
    <w:name w:val="Normal + Arial"/>
    <w:aliases w:val="10 pt"/>
    <w:basedOn w:val="Normal"/>
    <w:rsid w:val="00667945"/>
    <w:pPr>
      <w:spacing w:after="200" w:line="276" w:lineRule="auto"/>
    </w:pPr>
    <w:rPr>
      <w:rFonts w:ascii="Arial" w:eastAsia="MS Mincho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paragraph" w:customStyle="1" w:styleId="Body1">
    <w:name w:val="Body 1"/>
    <w:autoRedefine/>
    <w:rsid w:val="00256C68"/>
    <w:pPr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6A5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A5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2628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289"/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B6B77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NormalArial">
    <w:name w:val="Normal + Arial"/>
    <w:aliases w:val="10 pt"/>
    <w:basedOn w:val="Normal"/>
    <w:rsid w:val="00667945"/>
    <w:pPr>
      <w:spacing w:after="200" w:line="276" w:lineRule="auto"/>
    </w:pPr>
    <w:rPr>
      <w:rFonts w:ascii="Arial" w:eastAsia="MS Mincho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3275-DAE3-4BA8-8954-07EC7546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811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8</cp:revision>
  <cp:lastPrinted>2013-08-09T14:43:00Z</cp:lastPrinted>
  <dcterms:created xsi:type="dcterms:W3CDTF">2013-08-06T19:28:00Z</dcterms:created>
  <dcterms:modified xsi:type="dcterms:W3CDTF">2013-08-09T14:43:00Z</dcterms:modified>
</cp:coreProperties>
</file>